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CEFR Sentence Classification for Reading Material Adaptation</w:t>
      </w:r>
    </w:p>
    <w:p>
      <w:pPr>
        <w:pStyle w:val="Subtitle"/>
      </w:pPr>
      <w:r>
        <w:t>Group 10 CLC02   |   Project proposal   |   4 October 2026</w:t>
      </w:r>
    </w:p>
    <w:p>
      <w:pPr>
        <w:pStyle w:val="Heading1"/>
        <w:keepNext/>
      </w:pPr>
      <w:r>
        <w:t>1 Problem and User</w:t>
      </w:r>
    </w:p>
    <w:p>
      <w:r>
        <w:t>We propose a tool for HANU English teachers who want to simplify reading materials for a class with a target CEFR level. It highlights sentences predicted above that level so the teacher can review, simplify or replace them.</w:t>
      </w:r>
    </w:p>
    <w:p>
      <w:pPr>
        <w:pStyle w:val="Heading1"/>
        <w:keepNext/>
      </w:pPr>
      <w:r>
        <w:t>2 Data</w:t>
      </w:r>
    </w:p>
    <w:p>
      <w:r>
        <w:t>We use 10,004 public CEFR-SP sentence records from SCoRE and Wiki-Auto, available through UniversalCEFR [1-3]. Our target is the higher expert label, matching the Hugging Face version. We retain official splits, both annotations and source licenses: SCoRE CC BY-NC-SA 4.0; Wiki-Auto CC BY-SA 3.0. Use is non-commercial educational research.</w:t>
      </w:r>
    </w:p>
    <w:p>
      <w:pPr>
        <w:pStyle w:val="Heading1"/>
        <w:keepNext/>
      </w:pPr>
      <w:r>
        <w:t>3 ML Task Alignment</w:t>
      </w:r>
    </w:p>
    <w:p>
      <w:r>
        <w:t>Input: one English sentence. Output: a label from A1, A2, B1, B2, C1 and C2, with six model probabilities. In use, the teacher supplies the class level and reviews highlighted sentences in context. The tool does not assign a CEFR level to the whole passage or rewrite it automatically.</w:t>
      </w:r>
    </w:p>
    <w:p>
      <w:pPr>
        <w:pStyle w:val="Heading1"/>
        <w:keepNext/>
      </w:pPr>
      <w:r>
        <w:t>4 Model Plan</w:t>
      </w:r>
    </w:p>
    <w:p>
      <w:r>
        <w:t>Baselines: always predict B2; classify from Academic Word List (AWL) density [4] using a small decision tree; and word unigram-bigram TF-IDF with balanced multinomial Logistic Regression. The next model is a BiLSTM with GloVe 100-dimensional embeddings, dropout, weighted loss and validation early stopping. It tests whether word order adds information beyond lexical features.</w:t>
      </w:r>
    </w:p>
    <w:p>
      <w:pPr>
        <w:pStyle w:val="Heading1"/>
        <w:keepNext/>
      </w:pPr>
      <w:r>
        <w:t>5 Evaluation Plan</w:t>
      </w:r>
    </w:p>
    <w:p>
      <w:r>
        <w:t>Official splits: train 7,177 after deduplication; validation 1,366; test 1,460. Vocabulary and TF-IDF are fitted on train; model settings are selected on validation before test evaluation. QWK measures ordered agreement; MAE measures average CEFR-rank error. Per-class support and F1 expose minority-class failures. Current test results are below; details accompany this proposal.</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5" w:type="dxa"/>
          <w:bottom w:w="55" w:type="dxa"/>
          <w:left w:w="75" w:type="dxa"/>
          <w:right w:w="75" w:type="dxa"/>
        </w:tblCellMar>
      </w:tblPr>
      <w:tblGrid>
        <w:gridCol w:w="4133"/>
        <w:gridCol w:w="2448"/>
        <w:gridCol w:w="2448"/>
      </w:tblGrid>
      <w:tr>
        <w:trPr>
          <w:tblHeader/>
          <w:cantSplit/>
        </w:trPr>
        <w:tc>
          <w:tcPr>
            <w:tcW w:type="dxa" w:w="4133"/>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color w:val="000000"/>
                <w:sz w:val="21"/>
              </w:rPr>
              <w:t>Baseline</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QWK higher is better</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color w:val="000000"/>
                <w:sz w:val="21"/>
              </w:rPr>
              <w:t>MAE lower is better</w:t>
            </w:r>
          </w:p>
        </w:tc>
      </w:tr>
      <w:tr>
        <w:trPr>
          <w:cantSplit/>
        </w:trPr>
        <w:tc>
          <w:tcPr>
            <w:tcW w:type="dxa" w:w="4133"/>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Always B2</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0.000</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0.894</w:t>
            </w:r>
          </w:p>
        </w:tc>
      </w:tr>
      <w:tr>
        <w:trPr>
          <w:cantSplit/>
        </w:trPr>
        <w:tc>
          <w:tcPr>
            <w:tcW w:type="dxa" w:w="4133"/>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AWL density only</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0.246</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1.811</w:t>
            </w:r>
          </w:p>
        </w:tc>
      </w:tr>
      <w:tr>
        <w:trPr>
          <w:cantSplit/>
        </w:trPr>
        <w:tc>
          <w:tcPr>
            <w:tcW w:type="dxa" w:w="4133"/>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left"/>
            </w:pPr>
            <w:r>
              <w:rPr>
                <w:rFonts w:ascii="Calibri" w:hAnsi="Calibri"/>
                <w:b w:val="0"/>
                <w:color w:val="000000"/>
                <w:sz w:val="21"/>
              </w:rPr>
              <w:t>TF-IDF + LR</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0.547</w:t>
            </w:r>
          </w:p>
        </w:tc>
        <w:tc>
          <w:tcPr>
            <w:tcW w:type="dxa" w:w="2448"/>
            <w:vAlign w:val="center"/>
            <w:tcBorders>
              <w:top w:val="single" w:sz="4" w:color="BFBFBF"/>
              <w:left w:val="single" w:sz="4" w:color="BFBFBF"/>
              <w:bottom w:val="single" w:sz="4" w:color="BFBFBF"/>
              <w:right w:val="single" w:sz="4" w:color="BFBFBF"/>
            </w:tcBorders>
            <w:shd w:fill="FFFFFF" w:val="clear"/>
          </w:tcPr>
          <w:p>
            <w:pPr>
              <w:spacing w:before="0" w:after="0" w:line="240" w:lineRule="auto"/>
              <w:jc w:val="center"/>
            </w:pPr>
            <w:r>
              <w:rPr>
                <w:rFonts w:ascii="Calibri" w:hAnsi="Calibri"/>
                <w:b w:val="0"/>
                <w:color w:val="000000"/>
                <w:sz w:val="21"/>
              </w:rPr>
              <w:t>0.728</w:t>
            </w:r>
          </w:p>
        </w:tc>
      </w:tr>
    </w:tbl>
    <w:p>
      <w:pPr>
        <w:pStyle w:val="Heading1"/>
        <w:keepNext/>
      </w:pPr>
      <w:r>
        <w:t>6 Risks and Responsible Use</w:t>
      </w:r>
    </w:p>
    <w:p>
      <w:r>
        <w:t>LR has zero A1 and C2 F1; test support is 37 and 72. The selected AWL baseline is unreliable. Expert disagreement, source cues and differences from HANU materials limit interpretation. Probabilities are not calibrated confidence. Teachers keep final control. A qualitative review of about 30 HANU sentences is planned; classroom usefulness is not yet established.</w:t>
      </w:r>
    </w:p>
    <w:p>
      <w:pPr>
        <w:spacing w:after="0" w:before="120"/>
      </w:pPr>
      <w:r>
        <w:rPr>
          <w:sz w:val="19"/>
        </w:rPr>
        <w:t xml:space="preserve">Sources: </w:t>
      </w:r>
      <w:hyperlink r:id="rId6">
        <w:r>
          <w:rPr>
            <w:color w:val="000000"/>
            <w:u w:val="single"/>
          </w:rPr>
          <w:t>[1] UniversalCEFR</w:t>
        </w:r>
      </w:hyperlink>
      <w:r>
        <w:rPr>
          <w:sz w:val="19"/>
        </w:rPr>
        <w:t xml:space="preserve">; </w:t>
      </w:r>
      <w:hyperlink r:id="rId7">
        <w:r>
          <w:rPr>
            <w:color w:val="000000"/>
            <w:u w:val="single"/>
          </w:rPr>
          <w:t>[2] CEFR-SP files</w:t>
        </w:r>
      </w:hyperlink>
      <w:r>
        <w:rPr>
          <w:sz w:val="19"/>
        </w:rPr>
        <w:t xml:space="preserve">; </w:t>
      </w:r>
      <w:hyperlink r:id="rId8">
        <w:r>
          <w:rPr>
            <w:color w:val="000000"/>
            <w:u w:val="single"/>
          </w:rPr>
          <w:t>[3] Arase et al 2022</w:t>
        </w:r>
      </w:hyperlink>
      <w:r>
        <w:rPr>
          <w:sz w:val="19"/>
        </w:rPr>
        <w:t xml:space="preserve">; </w:t>
      </w:r>
      <w:hyperlink r:id="rId9">
        <w:r>
          <w:rPr>
            <w:color w:val="000000"/>
            <w:u w:val="single"/>
          </w:rPr>
          <w:t>[4] Coxhead AWL</w:t>
        </w:r>
      </w:hyperlink>
    </w:p>
    <w:sectPr>
      <w:pgSz w:h="16838" w:w="11905"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before="0" w:after="100" w:line="240" w:lineRule="auto"/>
    </w:pPr>
    <w:rPr>
      <w:rFonts w:ascii="Calibri" w:hAnsi="Calibri"/>
      <w:b w:val="0"/>
      <w:color w:val="000000"/>
      <w:sz w:val="22"/>
      <w:u w:val="none"/>
    </w:rPr>
  </w:style>
  <w:style w:type="paragraph" w:styleId="Heading1">
    <w:name w:val="heading 1"/>
    <w:basedOn w:val="Normal"/>
    <w:next w:val="Normal"/>
    <w:pPr>
      <w:keepNext w:val="1"/>
      <w:keepLines w:val="1"/>
      <w:pageBreakBefore w:val="0"/>
      <w:widowControl/>
      <w:spacing w:after="80" w:before="160" w:lineRule="auto" w:line="240"/>
    </w:pPr>
    <w:rPr>
      <w:rFonts w:ascii="Calibri" w:hAnsi="Calibri"/>
      <w:b/>
      <w:color w:val="000000"/>
      <w:sz w:val="24"/>
      <w:szCs w:val="40"/>
      <w:u w:val="none"/>
    </w:rPr>
  </w:style>
  <w:style w:type="paragraph" w:styleId="Heading2">
    <w:name w:val="heading 2"/>
    <w:basedOn w:val="Normal"/>
    <w:next w:val="Normal"/>
    <w:pPr>
      <w:keepNext w:val="1"/>
      <w:keepLines w:val="1"/>
      <w:pageBreakBefore w:val="0"/>
      <w:widowControl/>
      <w:spacing w:after="60" w:before="140" w:lineRule="auto" w:line="240"/>
    </w:pPr>
    <w:rPr>
      <w:rFonts w:ascii="Calibri" w:hAnsi="Calibri"/>
      <w:b/>
      <w:bCs w:val="0"/>
      <w:color w:val="000000"/>
      <w:sz w:val="23"/>
      <w:szCs w:val="32"/>
      <w:u w:val="non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widowControl/>
      <w:spacing w:after="100" w:before="0" w:lineRule="auto" w:line="240"/>
      <w:jc w:val="center"/>
    </w:pPr>
    <w:rPr>
      <w:rFonts w:ascii="Calibri" w:hAnsi="Calibri"/>
      <w:b/>
      <w:color w:val="000000"/>
      <w:sz w:val="32"/>
      <w:szCs w:val="52"/>
      <w:u w:val="none"/>
    </w:rPr>
  </w:style>
  <w:style w:type="paragraph" w:styleId="Subtitle">
    <w:name w:val="Subtitle"/>
    <w:basedOn w:val="Normal"/>
    <w:next w:val="Normal"/>
    <w:pPr>
      <w:keepNext w:val="1"/>
      <w:keepLines w:val="1"/>
      <w:pageBreakBefore w:val="0"/>
      <w:widowControl/>
      <w:spacing w:after="140" w:before="0" w:lineRule="auto" w:line="240"/>
      <w:jc w:val="center"/>
    </w:pPr>
    <w:rPr>
      <w:rFonts w:ascii="Calibri" w:cs="Arial" w:eastAsia="Arial" w:hAnsi="Calibri"/>
      <w:b w:val="0"/>
      <w:i w:val="0"/>
      <w:iCs w:val="0"/>
      <w:color w:val="000000"/>
      <w:sz w:val="21"/>
      <w:szCs w:val="30"/>
      <w:u w:val="no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UniversalCEFR/cefr_sp_en" TargetMode="External"/><Relationship Id="rId7" Type="http://schemas.openxmlformats.org/officeDocument/2006/relationships/hyperlink" Target="https://github.com/yukiar/CEFR-SP/tree/main/CEFR-SP" TargetMode="External"/><Relationship Id="rId8" Type="http://schemas.openxmlformats.org/officeDocument/2006/relationships/hyperlink" Target="https://aclanthology.org/2022.emnlp-main.416/" TargetMode="External"/><Relationship Id="rId9" Type="http://schemas.openxmlformats.org/officeDocument/2006/relationships/hyperlink" Target="https://www.wgtn.ac.nz/lals/resources/academicword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CEFR Sentence Classification for Reading Material Adaptation</dc:title>
  <cp:lastModifiedBy>python-docx</cp:lastModifiedBy>
  <cp:revision>1</cp:revision>
  <dcterms:modified xsi:type="dcterms:W3CDTF">2026-10-04T12:41:50Z</dcterms:modified>
  <dc:creator>Group 10 CLC02</dc:creator>
  <dc:subject>CEFR sentence classification project</dc:subject>
</cp:coreProperties>
</file>