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CEFR Based Sentence Difficulty Classification</w:t>
        <w:br/>
        <w:t>for Teacher Support in Reading Material Review</w:t>
      </w:r>
    </w:p>
    <w:p>
      <w:pPr>
        <w:spacing w:after="160"/>
        <w:jc w:val="center"/>
      </w:pPr>
      <w:r>
        <w:rPr>
          <w:rFonts w:ascii="Calibri" w:hAnsi="Calibri" w:eastAsia="Calibri"/>
          <w:b/>
          <w:color w:val="000000"/>
          <w:sz w:val="40"/>
        </w:rPr>
        <w:t>Phân loại độ khó câu theo CEFR để hỗ trợ giáo viên rà soát tài liệu đọc</w:t>
      </w:r>
    </w:p>
    <w:p>
      <w:pPr>
        <w:keepLines w:val="0"/>
        <w:spacing w:after="100"/>
      </w:pPr>
      <w:r>
        <w:rPr>
          <w:b/>
          <w:color w:val="000000"/>
        </w:rPr>
        <w:t xml:space="preserve">Scope. </w:t>
      </w:r>
      <w:r>
        <w:t>One English sentence in; six CEFR probabilities and one predicted level out; the teacher decides what to do.</w:t>
      </w:r>
    </w:p>
    <w:p>
      <w:pPr>
        <w:pStyle w:val="Heading1"/>
      </w:pPr>
      <w:r>
        <w:t>1. Problem and User</w:t>
      </w:r>
    </w:p>
    <w:p>
      <w:pPr>
        <w:keepLines w:val="0"/>
        <w:spacing w:after="100"/>
      </w:pPr>
      <w:r>
        <w:rPr>
          <w:b/>
          <w:color w:val="000000"/>
        </w:rPr>
        <w:t xml:space="preserve">Problem. </w:t>
      </w:r>
      <w:r>
        <w:t>Teachers reviewing English reading materials must inspect individual sentences to identify language that may exceed a target CEFR level. This sentence-by-sentence review is time-consuming, especially when a text contains only a few potentially unsuitable sentences.</w:t>
      </w:r>
    </w:p>
    <w:p>
      <w:pPr>
        <w:keepLines w:val="0"/>
        <w:spacing w:after="100"/>
      </w:pPr>
      <w:r>
        <w:rPr>
          <w:b/>
          <w:color w:val="000000"/>
        </w:rPr>
        <w:t xml:space="preserve">Primary user. </w:t>
      </w:r>
      <w:r>
        <w:t>English-language teachers at HANU who select or adapt reading materials for a known learner group.</w:t>
      </w:r>
    </w:p>
    <w:p>
      <w:pPr>
        <w:keepLines w:val="0"/>
        <w:spacing w:after="100"/>
      </w:pPr>
      <w:r>
        <w:rPr>
          <w:b/>
          <w:color w:val="000000"/>
        </w:rPr>
        <w:t xml:space="preserve">Decision supported. </w:t>
      </w:r>
      <w:r>
        <w:t>For each sentence, the tool predicts A1, A2, B1, B2, C1, or C2 and displays the probability distribution. The teacher can then decide whether to keep, simplify, replace, or inspect the sentence more closely.</w:t>
      </w:r>
    </w:p>
    <w:p>
      <w:pPr>
        <w:keepLines w:val="0"/>
        <w:spacing w:after="100"/>
      </w:pPr>
      <w:r>
        <w:rPr>
          <w:b/>
          <w:color w:val="000000"/>
        </w:rPr>
        <w:t xml:space="preserve">Operational workflow. </w:t>
      </w:r>
      <w:r>
        <w:t>A teacher pastes or uploads a selected reading text; the interface segments it into sentences; the classifier analyzes each English sentence independently; and the interface highlights sentences whose predicted level may not match the teacher's target. This is how a sentence-level training dataset can support review of a teacher-selected reading text.</w:t>
      </w:r>
    </w:p>
    <w:p>
      <w:pPr>
        <w:keepLines w:val="0"/>
        <w:spacing w:after="100"/>
      </w:pPr>
      <w:r>
        <w:rPr>
          <w:b/>
          <w:color w:val="000000"/>
        </w:rPr>
        <w:t xml:space="preserve">Scope boundary and human control. </w:t>
      </w:r>
      <w:r>
        <w:t>The project does not assign a single automated CEFR rating to an entire reading text. Predictions are decision-support signals, not prescriptions, and the teacher always makes the final judgment in context.</w:t>
      </w:r>
    </w:p>
    <w:p>
      <w:pPr>
        <w:pStyle w:val="Heading1"/>
      </w:pPr>
      <w:r>
        <w:t>2. Data</w:t>
      </w:r>
    </w:p>
    <w:p>
      <w:pPr>
        <w:keepLines w:val="0"/>
        <w:spacing w:after="100"/>
      </w:pPr>
      <w:r>
        <w:rPr>
          <w:b/>
          <w:color w:val="000000"/>
        </w:rPr>
        <w:t xml:space="preserve">Dataset route. </w:t>
      </w:r>
      <w:r>
        <w:t>Use the 10,004-row English release of UniversalCEFR on Hugging Face [1] for a standardized data table, then map every row to the official CEFR-SP files [2] to recover the original split and the two annotator labels described by Arase et al. (2022) [3]. Each sample is one independent sentence, not a complete reading text.</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5"/>
        <w:gridCol w:w="4515"/>
      </w:tblGrid>
      <w:tr>
        <w:trPr>
          <w:tblHeader w:val="true"/>
          <w:cantSplit/>
        </w:trPr>
        <w:tc>
          <w:tcPr>
            <w:tcW w:type="dxa" w:w="2721"/>
            <w:tcMar>
              <w:top w:w="60" w:type="dxa"/>
              <w:start w:w="110" w:type="dxa"/>
              <w:bottom w:w="60" w:type="dxa"/>
              <w:end w:w="110" w:type="dxa"/>
            </w:tcMar>
            <w:vAlign w:val="center"/>
          </w:tcPr>
          <w:p>
            <w:pPr>
              <w:spacing w:after="0"/>
              <w:jc w:val="left"/>
            </w:pPr>
            <w:r>
              <w:rPr>
                <w:b/>
                <w:color w:val="000000"/>
                <w:sz w:val="21"/>
              </w:rPr>
              <w:t>Dataset profile</w:t>
            </w:r>
          </w:p>
        </w:tc>
        <w:tc>
          <w:tcPr>
            <w:tcW w:type="dxa" w:w="6237"/>
            <w:tcMar>
              <w:top w:w="60" w:type="dxa"/>
              <w:start w:w="110" w:type="dxa"/>
              <w:bottom w:w="60" w:type="dxa"/>
              <w:end w:w="110" w:type="dxa"/>
            </w:tcMar>
            <w:vAlign w:val="center"/>
          </w:tcPr>
          <w:p>
            <w:pPr>
              <w:spacing w:after="0"/>
              <w:jc w:val="left"/>
            </w:pPr>
            <w:r>
              <w:rPr>
                <w:b/>
                <w:color w:val="000000"/>
                <w:sz w:val="21"/>
              </w:rPr>
              <w:t>Audited value</w:t>
            </w:r>
          </w:p>
        </w:tc>
      </w:tr>
      <w:tr>
        <w:trPr>
          <w:cantSplit/>
        </w:trPr>
        <w:tc>
          <w:tcPr>
            <w:tcW w:type="dxa" w:w="2721"/>
            <w:vAlign w:val="center"/>
            <w:tcMar>
              <w:top w:w="60" w:type="dxa"/>
              <w:start w:w="110" w:type="dxa"/>
              <w:bottom w:w="60" w:type="dxa"/>
              <w:end w:w="110" w:type="dxa"/>
            </w:tcMar>
          </w:tcPr>
          <w:p>
            <w:pPr>
              <w:spacing w:after="0" w:line="240" w:lineRule="auto"/>
              <w:jc w:val="left"/>
            </w:pPr>
            <w:r>
              <w:rPr>
                <w:color w:val="000000"/>
                <w:sz w:val="21"/>
              </w:rPr>
              <w:t>Unit of analysis</w:t>
            </w:r>
          </w:p>
        </w:tc>
        <w:tc>
          <w:tcPr>
            <w:tcW w:type="dxa" w:w="6237"/>
            <w:vAlign w:val="center"/>
            <w:tcMar>
              <w:top w:w="60" w:type="dxa"/>
              <w:start w:w="110" w:type="dxa"/>
              <w:bottom w:w="60" w:type="dxa"/>
              <w:end w:w="110" w:type="dxa"/>
            </w:tcMar>
          </w:tcPr>
          <w:p>
            <w:pPr>
              <w:spacing w:after="0" w:line="240" w:lineRule="auto"/>
              <w:jc w:val="left"/>
            </w:pPr>
            <w:r>
              <w:rPr>
                <w:color w:val="000000"/>
                <w:sz w:val="21"/>
              </w:rPr>
              <w:t>One English sentence</w:t>
            </w:r>
          </w:p>
        </w:tc>
      </w:tr>
      <w:tr>
        <w:trPr>
          <w:cantSplit/>
        </w:trPr>
        <w:tc>
          <w:tcPr>
            <w:tcW w:type="dxa" w:w="2721"/>
            <w:vAlign w:val="center"/>
            <w:tcMar>
              <w:top w:w="60" w:type="dxa"/>
              <w:start w:w="110" w:type="dxa"/>
              <w:bottom w:w="60" w:type="dxa"/>
              <w:end w:w="110" w:type="dxa"/>
            </w:tcMar>
          </w:tcPr>
          <w:p>
            <w:pPr>
              <w:spacing w:after="0" w:line="240" w:lineRule="auto"/>
              <w:jc w:val="left"/>
            </w:pPr>
            <w:r>
              <w:rPr>
                <w:color w:val="000000"/>
                <w:sz w:val="21"/>
              </w:rPr>
              <w:t>Number of rows</w:t>
            </w:r>
          </w:p>
        </w:tc>
        <w:tc>
          <w:tcPr>
            <w:tcW w:type="dxa" w:w="6237"/>
            <w:vAlign w:val="center"/>
            <w:tcMar>
              <w:top w:w="60" w:type="dxa"/>
              <w:start w:w="110" w:type="dxa"/>
              <w:bottom w:w="60" w:type="dxa"/>
              <w:end w:w="110" w:type="dxa"/>
            </w:tcMar>
          </w:tcPr>
          <w:p>
            <w:pPr>
              <w:spacing w:after="0" w:line="240" w:lineRule="auto"/>
              <w:jc w:val="left"/>
            </w:pPr>
            <w:r>
              <w:rPr>
                <w:color w:val="000000"/>
                <w:sz w:val="21"/>
              </w:rPr>
              <w:t>10,004</w:t>
            </w:r>
          </w:p>
        </w:tc>
      </w:tr>
      <w:tr>
        <w:trPr>
          <w:cantSplit/>
        </w:trPr>
        <w:tc>
          <w:tcPr>
            <w:tcW w:type="dxa" w:w="2721"/>
            <w:vAlign w:val="center"/>
            <w:tcMar>
              <w:top w:w="60" w:type="dxa"/>
              <w:start w:w="110" w:type="dxa"/>
              <w:bottom w:w="60" w:type="dxa"/>
              <w:end w:w="110" w:type="dxa"/>
            </w:tcMar>
          </w:tcPr>
          <w:p>
            <w:pPr>
              <w:spacing w:after="0" w:line="240" w:lineRule="auto"/>
              <w:jc w:val="left"/>
            </w:pPr>
            <w:r>
              <w:rPr>
                <w:color w:val="000000"/>
                <w:sz w:val="21"/>
              </w:rPr>
              <w:t>Sentence length</w:t>
            </w:r>
          </w:p>
        </w:tc>
        <w:tc>
          <w:tcPr>
            <w:tcW w:type="dxa" w:w="6237"/>
            <w:vAlign w:val="center"/>
            <w:tcMar>
              <w:top w:w="60" w:type="dxa"/>
              <w:start w:w="110" w:type="dxa"/>
              <w:bottom w:w="60" w:type="dxa"/>
              <w:end w:w="110" w:type="dxa"/>
            </w:tcMar>
          </w:tcPr>
          <w:p>
            <w:pPr>
              <w:spacing w:after="0" w:line="240" w:lineRule="auto"/>
              <w:jc w:val="left"/>
            </w:pPr>
            <w:r>
              <w:rPr>
                <w:color w:val="000000"/>
                <w:sz w:val="21"/>
              </w:rPr>
              <w:t>5-34 words; median 14; mean approximately 14.8</w:t>
            </w:r>
          </w:p>
        </w:tc>
      </w:tr>
      <w:tr>
        <w:trPr>
          <w:cantSplit/>
        </w:trPr>
        <w:tc>
          <w:tcPr>
            <w:tcW w:type="dxa" w:w="2721"/>
            <w:vAlign w:val="center"/>
            <w:tcMar>
              <w:top w:w="60" w:type="dxa"/>
              <w:start w:w="110" w:type="dxa"/>
              <w:bottom w:w="60" w:type="dxa"/>
              <w:end w:w="110" w:type="dxa"/>
            </w:tcMar>
          </w:tcPr>
          <w:p>
            <w:pPr>
              <w:spacing w:after="0" w:line="240" w:lineRule="auto"/>
              <w:jc w:val="left"/>
            </w:pPr>
            <w:r>
              <w:rPr>
                <w:color w:val="000000"/>
                <w:sz w:val="21"/>
              </w:rPr>
              <w:t>Fields</w:t>
            </w:r>
          </w:p>
        </w:tc>
        <w:tc>
          <w:tcPr>
            <w:tcW w:type="dxa" w:w="6237"/>
            <w:vAlign w:val="center"/>
            <w:tcMar>
              <w:top w:w="60" w:type="dxa"/>
              <w:start w:w="110" w:type="dxa"/>
              <w:bottom w:w="60" w:type="dxa"/>
              <w:end w:w="110" w:type="dxa"/>
            </w:tcMar>
          </w:tcPr>
          <w:p>
            <w:pPr>
              <w:spacing w:after="0" w:line="240" w:lineRule="auto"/>
              <w:jc w:val="left"/>
            </w:pPr>
            <w:r>
              <w:rPr>
                <w:color w:val="000000"/>
                <w:sz w:val="21"/>
              </w:rPr>
              <w:t>title, lang, source_name, format, category, cefr_level, license, text</w:t>
            </w:r>
          </w:p>
        </w:tc>
      </w:tr>
      <w:tr>
        <w:trPr>
          <w:cantSplit/>
        </w:trPr>
        <w:tc>
          <w:tcPr>
            <w:tcW w:type="dxa" w:w="2721"/>
            <w:vAlign w:val="center"/>
            <w:tcMar>
              <w:top w:w="60" w:type="dxa"/>
              <w:start w:w="110" w:type="dxa"/>
              <w:bottom w:w="60" w:type="dxa"/>
              <w:end w:w="110" w:type="dxa"/>
            </w:tcMar>
          </w:tcPr>
          <w:p>
            <w:pPr>
              <w:spacing w:after="0" w:line="240" w:lineRule="auto"/>
              <w:jc w:val="left"/>
            </w:pPr>
            <w:r>
              <w:rPr>
                <w:color w:val="000000"/>
                <w:sz w:val="21"/>
              </w:rPr>
              <w:t>Public source collections</w:t>
            </w:r>
          </w:p>
        </w:tc>
        <w:tc>
          <w:tcPr>
            <w:tcW w:type="dxa" w:w="6237"/>
            <w:vAlign w:val="center"/>
            <w:tcMar>
              <w:top w:w="60" w:type="dxa"/>
              <w:start w:w="110" w:type="dxa"/>
              <w:bottom w:w="60" w:type="dxa"/>
              <w:end w:w="110" w:type="dxa"/>
            </w:tcMar>
          </w:tcPr>
          <w:p>
            <w:pPr>
              <w:spacing w:after="0" w:line="240" w:lineRule="auto"/>
              <w:jc w:val="left"/>
            </w:pPr>
            <w:r>
              <w:rPr>
                <w:color w:val="000000"/>
                <w:sz w:val="21"/>
              </w:rPr>
              <w:t>SCoRE and Wiki-Auto</w:t>
            </w:r>
          </w:p>
        </w:tc>
      </w:tr>
    </w:tbl>
    <w:p>
      <w:pPr>
        <w:spacing w:after="0" w:line="60" w:lineRule="exact"/>
      </w:pP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9"/>
        <w:gridCol w:w="1129"/>
        <w:gridCol w:w="1129"/>
        <w:gridCol w:w="1129"/>
        <w:gridCol w:w="1129"/>
        <w:gridCol w:w="1129"/>
        <w:gridCol w:w="1129"/>
        <w:gridCol w:w="1129"/>
      </w:tblGrid>
      <w:tr>
        <w:trPr>
          <w:tblHeader w:val="true"/>
          <w:cantSplit/>
        </w:trPr>
        <w:tc>
          <w:tcPr>
            <w:tcW w:type="dxa" w:w="1134"/>
            <w:tcMar>
              <w:top w:w="60" w:type="dxa"/>
              <w:start w:w="110" w:type="dxa"/>
              <w:bottom w:w="60" w:type="dxa"/>
              <w:end w:w="110" w:type="dxa"/>
            </w:tcMar>
            <w:vAlign w:val="center"/>
          </w:tcPr>
          <w:p>
            <w:pPr>
              <w:spacing w:after="0"/>
              <w:jc w:val="left"/>
            </w:pPr>
            <w:r>
              <w:rPr>
                <w:b/>
                <w:color w:val="000000"/>
                <w:sz w:val="20"/>
              </w:rPr>
              <w:t>CEFR level</w:t>
            </w:r>
          </w:p>
        </w:tc>
        <w:tc>
          <w:tcPr>
            <w:tcW w:type="dxa" w:w="1048"/>
            <w:tcMar>
              <w:top w:w="60" w:type="dxa"/>
              <w:start w:w="110" w:type="dxa"/>
              <w:bottom w:w="60" w:type="dxa"/>
              <w:end w:w="110" w:type="dxa"/>
            </w:tcMar>
            <w:vAlign w:val="center"/>
          </w:tcPr>
          <w:p>
            <w:pPr>
              <w:spacing w:after="0"/>
              <w:jc w:val="center"/>
            </w:pPr>
            <w:r>
              <w:rPr>
                <w:b/>
                <w:color w:val="000000"/>
                <w:sz w:val="20"/>
              </w:rPr>
              <w:t>A1</w:t>
            </w:r>
          </w:p>
        </w:tc>
        <w:tc>
          <w:tcPr>
            <w:tcW w:type="dxa" w:w="1134"/>
            <w:tcMar>
              <w:top w:w="60" w:type="dxa"/>
              <w:start w:w="110" w:type="dxa"/>
              <w:bottom w:w="60" w:type="dxa"/>
              <w:end w:w="110" w:type="dxa"/>
            </w:tcMar>
            <w:vAlign w:val="center"/>
          </w:tcPr>
          <w:p>
            <w:pPr>
              <w:spacing w:after="0"/>
              <w:jc w:val="center"/>
            </w:pPr>
            <w:r>
              <w:rPr>
                <w:b/>
                <w:color w:val="000000"/>
                <w:sz w:val="20"/>
              </w:rPr>
              <w:t>A2</w:t>
            </w:r>
          </w:p>
        </w:tc>
        <w:tc>
          <w:tcPr>
            <w:tcW w:type="dxa" w:w="1134"/>
            <w:tcMar>
              <w:top w:w="60" w:type="dxa"/>
              <w:start w:w="110" w:type="dxa"/>
              <w:bottom w:w="60" w:type="dxa"/>
              <w:end w:w="110" w:type="dxa"/>
            </w:tcMar>
            <w:vAlign w:val="center"/>
          </w:tcPr>
          <w:p>
            <w:pPr>
              <w:spacing w:after="0"/>
              <w:jc w:val="center"/>
            </w:pPr>
            <w:r>
              <w:rPr>
                <w:b/>
                <w:color w:val="000000"/>
                <w:sz w:val="20"/>
              </w:rPr>
              <w:t>B1</w:t>
            </w:r>
          </w:p>
        </w:tc>
        <w:tc>
          <w:tcPr>
            <w:tcW w:type="dxa" w:w="1134"/>
            <w:tcMar>
              <w:top w:w="60" w:type="dxa"/>
              <w:start w:w="110" w:type="dxa"/>
              <w:bottom w:w="60" w:type="dxa"/>
              <w:end w:w="110" w:type="dxa"/>
            </w:tcMar>
            <w:vAlign w:val="center"/>
          </w:tcPr>
          <w:p>
            <w:pPr>
              <w:spacing w:after="0"/>
              <w:jc w:val="center"/>
            </w:pPr>
            <w:r>
              <w:rPr>
                <w:b/>
                <w:color w:val="000000"/>
                <w:sz w:val="20"/>
              </w:rPr>
              <w:t>B2</w:t>
            </w:r>
          </w:p>
        </w:tc>
        <w:tc>
          <w:tcPr>
            <w:tcW w:type="dxa" w:w="1134"/>
            <w:tcMar>
              <w:top w:w="60" w:type="dxa"/>
              <w:start w:w="110" w:type="dxa"/>
              <w:bottom w:w="60" w:type="dxa"/>
              <w:end w:w="110" w:type="dxa"/>
            </w:tcMar>
            <w:vAlign w:val="center"/>
          </w:tcPr>
          <w:p>
            <w:pPr>
              <w:spacing w:after="0"/>
              <w:jc w:val="center"/>
            </w:pPr>
            <w:r>
              <w:rPr>
                <w:b/>
                <w:color w:val="000000"/>
                <w:sz w:val="20"/>
              </w:rPr>
              <w:t>C1</w:t>
            </w:r>
          </w:p>
        </w:tc>
        <w:tc>
          <w:tcPr>
            <w:tcW w:type="dxa" w:w="1048"/>
            <w:tcMar>
              <w:top w:w="60" w:type="dxa"/>
              <w:start w:w="110" w:type="dxa"/>
              <w:bottom w:w="60" w:type="dxa"/>
              <w:end w:w="110" w:type="dxa"/>
            </w:tcMar>
            <w:vAlign w:val="center"/>
          </w:tcPr>
          <w:p>
            <w:pPr>
              <w:spacing w:after="0"/>
              <w:jc w:val="center"/>
            </w:pPr>
            <w:r>
              <w:rPr>
                <w:b/>
                <w:color w:val="000000"/>
                <w:sz w:val="20"/>
              </w:rPr>
              <w:t>C2</w:t>
            </w:r>
          </w:p>
        </w:tc>
        <w:tc>
          <w:tcPr>
            <w:tcW w:type="dxa" w:w="1190"/>
            <w:tcMar>
              <w:top w:w="60" w:type="dxa"/>
              <w:start w:w="110" w:type="dxa"/>
              <w:bottom w:w="60" w:type="dxa"/>
              <w:end w:w="110" w:type="dxa"/>
            </w:tcMar>
            <w:vAlign w:val="center"/>
          </w:tcPr>
          <w:p>
            <w:pPr>
              <w:spacing w:after="0"/>
              <w:jc w:val="center"/>
            </w:pPr>
            <w:r>
              <w:rPr>
                <w:b/>
                <w:color w:val="000000"/>
                <w:sz w:val="20"/>
              </w:rPr>
              <w:t>Total</w:t>
            </w:r>
          </w:p>
        </w:tc>
      </w:tr>
      <w:tr>
        <w:trPr>
          <w:cantSplit/>
        </w:trPr>
        <w:tc>
          <w:tcPr>
            <w:tcW w:type="dxa" w:w="1134"/>
            <w:vAlign w:val="center"/>
            <w:tcMar>
              <w:top w:w="60" w:type="dxa"/>
              <w:start w:w="110" w:type="dxa"/>
              <w:bottom w:w="60" w:type="dxa"/>
              <w:end w:w="110" w:type="dxa"/>
            </w:tcMar>
          </w:tcPr>
          <w:p>
            <w:pPr>
              <w:spacing w:after="0" w:line="240" w:lineRule="auto"/>
              <w:jc w:val="left"/>
            </w:pPr>
            <w:r>
              <w:rPr>
                <w:color w:val="000000"/>
                <w:sz w:val="20"/>
              </w:rPr>
              <w:t>Sentences</w:t>
            </w:r>
          </w:p>
        </w:tc>
        <w:tc>
          <w:tcPr>
            <w:tcW w:type="dxa" w:w="1048"/>
            <w:vAlign w:val="center"/>
            <w:tcMar>
              <w:top w:w="60" w:type="dxa"/>
              <w:start w:w="110" w:type="dxa"/>
              <w:bottom w:w="60" w:type="dxa"/>
              <w:end w:w="110" w:type="dxa"/>
            </w:tcMar>
          </w:tcPr>
          <w:p>
            <w:pPr>
              <w:spacing w:after="0" w:line="240" w:lineRule="auto"/>
              <w:jc w:val="center"/>
            </w:pPr>
            <w:r>
              <w:rPr>
                <w:color w:val="000000"/>
                <w:sz w:val="20"/>
              </w:rPr>
              <w:t>124</w:t>
            </w:r>
          </w:p>
        </w:tc>
        <w:tc>
          <w:tcPr>
            <w:tcW w:type="dxa" w:w="1134"/>
            <w:vAlign w:val="center"/>
            <w:tcMar>
              <w:top w:w="60" w:type="dxa"/>
              <w:start w:w="110" w:type="dxa"/>
              <w:bottom w:w="60" w:type="dxa"/>
              <w:end w:w="110" w:type="dxa"/>
            </w:tcMar>
          </w:tcPr>
          <w:p>
            <w:pPr>
              <w:spacing w:after="0" w:line="240" w:lineRule="auto"/>
              <w:jc w:val="center"/>
            </w:pPr>
            <w:r>
              <w:rPr>
                <w:color w:val="000000"/>
                <w:sz w:val="20"/>
              </w:rPr>
              <w:t>1,271</w:t>
            </w:r>
          </w:p>
        </w:tc>
        <w:tc>
          <w:tcPr>
            <w:tcW w:type="dxa" w:w="1134"/>
            <w:vAlign w:val="center"/>
            <w:tcMar>
              <w:top w:w="60" w:type="dxa"/>
              <w:start w:w="110" w:type="dxa"/>
              <w:bottom w:w="60" w:type="dxa"/>
              <w:end w:w="110" w:type="dxa"/>
            </w:tcMar>
          </w:tcPr>
          <w:p>
            <w:pPr>
              <w:spacing w:after="0" w:line="240" w:lineRule="auto"/>
              <w:jc w:val="center"/>
            </w:pPr>
            <w:r>
              <w:rPr>
                <w:color w:val="000000"/>
                <w:sz w:val="20"/>
              </w:rPr>
              <w:t>3,305</w:t>
            </w:r>
          </w:p>
        </w:tc>
        <w:tc>
          <w:tcPr>
            <w:tcW w:type="dxa" w:w="1134"/>
            <w:vAlign w:val="center"/>
            <w:tcMar>
              <w:top w:w="60" w:type="dxa"/>
              <w:start w:w="110" w:type="dxa"/>
              <w:bottom w:w="60" w:type="dxa"/>
              <w:end w:w="110" w:type="dxa"/>
            </w:tcMar>
          </w:tcPr>
          <w:p>
            <w:pPr>
              <w:spacing w:after="0" w:line="240" w:lineRule="auto"/>
              <w:jc w:val="center"/>
            </w:pPr>
            <w:r>
              <w:rPr>
                <w:color w:val="000000"/>
                <w:sz w:val="20"/>
              </w:rPr>
              <w:t>3,330</w:t>
            </w:r>
          </w:p>
        </w:tc>
        <w:tc>
          <w:tcPr>
            <w:tcW w:type="dxa" w:w="1134"/>
            <w:vAlign w:val="center"/>
            <w:tcMar>
              <w:top w:w="60" w:type="dxa"/>
              <w:start w:w="110" w:type="dxa"/>
              <w:bottom w:w="60" w:type="dxa"/>
              <w:end w:w="110" w:type="dxa"/>
            </w:tcMar>
          </w:tcPr>
          <w:p>
            <w:pPr>
              <w:spacing w:after="0" w:line="240" w:lineRule="auto"/>
              <w:jc w:val="center"/>
            </w:pPr>
            <w:r>
              <w:rPr>
                <w:color w:val="000000"/>
                <w:sz w:val="20"/>
              </w:rPr>
              <w:t>1,744</w:t>
            </w:r>
          </w:p>
        </w:tc>
        <w:tc>
          <w:tcPr>
            <w:tcW w:type="dxa" w:w="1048"/>
            <w:vAlign w:val="center"/>
            <w:tcMar>
              <w:top w:w="60" w:type="dxa"/>
              <w:start w:w="110" w:type="dxa"/>
              <w:bottom w:w="60" w:type="dxa"/>
              <w:end w:w="110" w:type="dxa"/>
            </w:tcMar>
          </w:tcPr>
          <w:p>
            <w:pPr>
              <w:spacing w:after="0" w:line="240" w:lineRule="auto"/>
              <w:jc w:val="center"/>
            </w:pPr>
            <w:r>
              <w:rPr>
                <w:color w:val="000000"/>
                <w:sz w:val="20"/>
              </w:rPr>
              <w:t>230</w:t>
            </w:r>
          </w:p>
        </w:tc>
        <w:tc>
          <w:tcPr>
            <w:tcW w:type="dxa" w:w="1190"/>
            <w:vAlign w:val="center"/>
            <w:tcMar>
              <w:top w:w="60" w:type="dxa"/>
              <w:start w:w="110" w:type="dxa"/>
              <w:bottom w:w="60" w:type="dxa"/>
              <w:end w:w="110" w:type="dxa"/>
            </w:tcMar>
          </w:tcPr>
          <w:p>
            <w:pPr>
              <w:spacing w:after="0" w:line="240" w:lineRule="auto"/>
              <w:jc w:val="center"/>
            </w:pPr>
            <w:r>
              <w:rPr>
                <w:color w:val="000000"/>
                <w:sz w:val="20"/>
              </w:rPr>
              <w:t>10,004</w:t>
            </w:r>
          </w:p>
        </w:tc>
      </w:tr>
    </w:tbl>
    <w:p>
      <w:pPr>
        <w:spacing w:after="0" w:line="60" w:lineRule="exact"/>
      </w:pPr>
    </w:p>
    <w:p>
      <w:pPr>
        <w:keepLines w:val="0"/>
        <w:spacing w:after="100"/>
      </w:pPr>
      <w:r>
        <w:rPr>
          <w:b/>
          <w:color w:val="000000"/>
        </w:rPr>
        <w:t xml:space="preserve">Verified example. </w:t>
      </w:r>
      <w:r>
        <w:t>The dataset contains the sentence "Is that your bike?" with the target label A1. This example will be used in the task definition rather than a fabricated sentence.</w:t>
      </w:r>
    </w:p>
    <w:p>
      <w:pPr>
        <w:keepLines w:val="0"/>
        <w:spacing w:after="100"/>
      </w:pPr>
      <w:r>
        <w:rPr>
          <w:b/>
          <w:color w:val="000000"/>
        </w:rPr>
        <w:t xml:space="preserve">Annotation. </w:t>
      </w:r>
      <w:r>
        <w:t>The Hugging Face table contains one CEFR label per sentence. The original CEFR-SP files contain labels from two English-education experts; across all 10,004 matched rows, the Hugging Face label equals the higher of the two levels. In the public SCoRE/Wiki-Auto subset, exact agreement is approximately 41.4%, and every disagreement is within one adjacent CEFR level. The two original labels will be retained for an ambiguity audit rather than treated as identical judgments.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rPr>
          <w:tblHeader w:val="true"/>
          <w:cantSplit/>
        </w:trPr>
        <w:tc>
          <w:tcPr>
            <w:tcW w:type="dxa" w:w="2494"/>
            <w:tcMar>
              <w:top w:w="60" w:type="dxa"/>
              <w:start w:w="110" w:type="dxa"/>
              <w:bottom w:w="60" w:type="dxa"/>
              <w:end w:w="110" w:type="dxa"/>
            </w:tcMar>
            <w:vAlign w:val="center"/>
          </w:tcPr>
          <w:p>
            <w:pPr>
              <w:keepNext/>
              <w:spacing w:after="0"/>
              <w:jc w:val="left"/>
            </w:pPr>
            <w:r>
              <w:rPr>
                <w:b/>
                <w:color w:val="000000"/>
                <w:sz w:val="20"/>
              </w:rPr>
              <w:t>Release/source</w:t>
            </w:r>
          </w:p>
        </w:tc>
        <w:tc>
          <w:tcPr>
            <w:tcW w:type="dxa" w:w="2835"/>
            <w:tcMar>
              <w:top w:w="60" w:type="dxa"/>
              <w:start w:w="110" w:type="dxa"/>
              <w:bottom w:w="60" w:type="dxa"/>
              <w:end w:w="110" w:type="dxa"/>
            </w:tcMar>
            <w:vAlign w:val="center"/>
          </w:tcPr>
          <w:p>
            <w:pPr>
              <w:keepNext/>
              <w:spacing w:after="0"/>
              <w:jc w:val="left"/>
            </w:pPr>
            <w:r>
              <w:rPr>
                <w:b/>
                <w:color w:val="000000"/>
                <w:sz w:val="20"/>
              </w:rPr>
              <w:t>License information to retain</w:t>
            </w:r>
          </w:p>
        </w:tc>
        <w:tc>
          <w:tcPr>
            <w:tcW w:type="dxa" w:w="3628"/>
            <w:tcMar>
              <w:top w:w="60" w:type="dxa"/>
              <w:start w:w="110" w:type="dxa"/>
              <w:bottom w:w="60" w:type="dxa"/>
              <w:end w:w="110" w:type="dxa"/>
            </w:tcMar>
            <w:vAlign w:val="center"/>
          </w:tcPr>
          <w:p>
            <w:pPr>
              <w:keepNext/>
              <w:spacing w:after="0"/>
              <w:jc w:val="left"/>
            </w:pPr>
            <w:r>
              <w:rPr>
                <w:b/>
                <w:color w:val="000000"/>
                <w:sz w:val="20"/>
              </w:rPr>
              <w:t>Project handling</w:t>
            </w:r>
          </w:p>
        </w:tc>
      </w:tr>
      <w:tr>
        <w:trPr>
          <w:cantSplit/>
        </w:trPr>
        <w:tc>
          <w:tcPr>
            <w:tcW w:type="dxa" w:w="2494"/>
            <w:vAlign w:val="center"/>
            <w:tcMar>
              <w:top w:w="60" w:type="dxa"/>
              <w:start w:w="110" w:type="dxa"/>
              <w:bottom w:w="60" w:type="dxa"/>
              <w:end w:w="110" w:type="dxa"/>
            </w:tcMar>
          </w:tcPr>
          <w:p>
            <w:pPr>
              <w:keepNext/>
              <w:spacing w:after="0" w:line="240" w:lineRule="auto"/>
              <w:jc w:val="left"/>
            </w:pPr>
            <w:r>
              <w:rPr>
                <w:color w:val="000000"/>
                <w:sz w:val="20"/>
              </w:rPr>
              <w:t>UniversalCEFR on Hugging Face</w:t>
            </w:r>
          </w:p>
        </w:tc>
        <w:tc>
          <w:tcPr>
            <w:tcW w:type="dxa" w:w="2835"/>
            <w:vAlign w:val="center"/>
            <w:tcMar>
              <w:top w:w="60" w:type="dxa"/>
              <w:start w:w="110" w:type="dxa"/>
              <w:bottom w:w="60" w:type="dxa"/>
              <w:end w:w="110" w:type="dxa"/>
            </w:tcMar>
          </w:tcPr>
          <w:p>
            <w:pPr>
              <w:keepNext/>
              <w:spacing w:after="0" w:line="240" w:lineRule="auto"/>
              <w:jc w:val="left"/>
            </w:pPr>
            <w:r>
              <w:rPr>
                <w:color w:val="000000"/>
                <w:sz w:val="20"/>
              </w:rPr>
              <w:t>Records are marked CC BY-NC-SA 4.0</w:t>
            </w:r>
          </w:p>
        </w:tc>
        <w:tc>
          <w:tcPr>
            <w:tcW w:type="dxa" w:w="3628"/>
            <w:vAlign w:val="center"/>
            <w:tcMar>
              <w:top w:w="60" w:type="dxa"/>
              <w:start w:w="110" w:type="dxa"/>
              <w:bottom w:w="60" w:type="dxa"/>
              <w:end w:w="110" w:type="dxa"/>
            </w:tcMar>
          </w:tcPr>
          <w:p>
            <w:pPr>
              <w:keepNext/>
              <w:spacing w:after="0" w:line="240" w:lineRule="auto"/>
              <w:jc w:val="left"/>
            </w:pPr>
            <w:r>
              <w:rPr>
                <w:color w:val="000000"/>
                <w:sz w:val="20"/>
              </w:rPr>
              <w:t>Retain record-level metadata</w:t>
            </w:r>
          </w:p>
        </w:tc>
      </w:tr>
      <w:tr>
        <w:trPr>
          <w:cantSplit/>
        </w:trPr>
        <w:tc>
          <w:tcPr>
            <w:tcW w:type="dxa" w:w="2494"/>
            <w:vAlign w:val="center"/>
            <w:tcMar>
              <w:top w:w="60" w:type="dxa"/>
              <w:start w:w="110" w:type="dxa"/>
              <w:bottom w:w="60" w:type="dxa"/>
              <w:end w:w="110" w:type="dxa"/>
            </w:tcMar>
          </w:tcPr>
          <w:p>
            <w:pPr>
              <w:keepNext/>
              <w:spacing w:after="0" w:line="240" w:lineRule="auto"/>
              <w:jc w:val="left"/>
            </w:pPr>
            <w:r>
              <w:rPr>
                <w:color w:val="000000"/>
                <w:sz w:val="20"/>
              </w:rPr>
              <w:t>CEFR-SP: SCoRE</w:t>
            </w:r>
          </w:p>
        </w:tc>
        <w:tc>
          <w:tcPr>
            <w:tcW w:type="dxa" w:w="2835"/>
            <w:vAlign w:val="center"/>
            <w:tcMar>
              <w:top w:w="60" w:type="dxa"/>
              <w:start w:w="110" w:type="dxa"/>
              <w:bottom w:w="60" w:type="dxa"/>
              <w:end w:w="110" w:type="dxa"/>
            </w:tcMar>
          </w:tcPr>
          <w:p>
            <w:pPr>
              <w:keepNext/>
              <w:spacing w:after="0" w:line="240" w:lineRule="auto"/>
              <w:jc w:val="left"/>
            </w:pPr>
            <w:r>
              <w:rPr>
                <w:color w:val="000000"/>
                <w:sz w:val="20"/>
              </w:rPr>
              <w:t>CC BY-NC-SA 4.0</w:t>
            </w:r>
          </w:p>
        </w:tc>
        <w:tc>
          <w:tcPr>
            <w:tcW w:type="dxa" w:w="3628"/>
            <w:vAlign w:val="center"/>
            <w:tcMar>
              <w:top w:w="60" w:type="dxa"/>
              <w:start w:w="110" w:type="dxa"/>
              <w:bottom w:w="60" w:type="dxa"/>
              <w:end w:w="110" w:type="dxa"/>
            </w:tcMar>
          </w:tcPr>
          <w:p>
            <w:pPr>
              <w:keepNext/>
              <w:spacing w:after="0" w:line="240" w:lineRule="auto"/>
              <w:jc w:val="left"/>
            </w:pPr>
            <w:r>
              <w:rPr>
                <w:color w:val="000000"/>
                <w:sz w:val="20"/>
              </w:rPr>
              <w:t>Non-commercial educational research</w:t>
            </w:r>
          </w:p>
        </w:tc>
      </w:tr>
      <w:tr>
        <w:trPr>
          <w:cantSplit/>
        </w:trPr>
        <w:tc>
          <w:tcPr>
            <w:tcW w:type="dxa" w:w="2494"/>
            <w:vAlign w:val="center"/>
            <w:tcMar>
              <w:top w:w="60" w:type="dxa"/>
              <w:start w:w="110" w:type="dxa"/>
              <w:bottom w:w="60" w:type="dxa"/>
              <w:end w:w="110" w:type="dxa"/>
            </w:tcMar>
          </w:tcPr>
          <w:p>
            <w:pPr>
              <w:spacing w:after="0" w:line="240" w:lineRule="auto"/>
              <w:jc w:val="left"/>
            </w:pPr>
            <w:r>
              <w:rPr>
                <w:color w:val="000000"/>
                <w:sz w:val="20"/>
              </w:rPr>
              <w:t>CEFR-SP: Wiki-Auto</w:t>
            </w:r>
          </w:p>
        </w:tc>
        <w:tc>
          <w:tcPr>
            <w:tcW w:type="dxa" w:w="2835"/>
            <w:vAlign w:val="center"/>
            <w:tcMar>
              <w:top w:w="60" w:type="dxa"/>
              <w:start w:w="110" w:type="dxa"/>
              <w:bottom w:w="60" w:type="dxa"/>
              <w:end w:w="110" w:type="dxa"/>
            </w:tcMar>
          </w:tcPr>
          <w:p>
            <w:pPr>
              <w:spacing w:after="0" w:line="240" w:lineRule="auto"/>
              <w:jc w:val="left"/>
            </w:pPr>
            <w:r>
              <w:rPr>
                <w:color w:val="000000"/>
                <w:sz w:val="20"/>
              </w:rPr>
              <w:t>CC BY-SA 3.0</w:t>
            </w:r>
          </w:p>
        </w:tc>
        <w:tc>
          <w:tcPr>
            <w:tcW w:type="dxa" w:w="3628"/>
            <w:vAlign w:val="center"/>
            <w:tcMar>
              <w:top w:w="60" w:type="dxa"/>
              <w:start w:w="110" w:type="dxa"/>
              <w:bottom w:w="60" w:type="dxa"/>
              <w:end w:w="110" w:type="dxa"/>
            </w:tcMar>
          </w:tcPr>
          <w:p>
            <w:pPr>
              <w:spacing w:after="0" w:line="240" w:lineRule="auto"/>
              <w:jc w:val="left"/>
            </w:pPr>
            <w:r>
              <w:rPr>
                <w:color w:val="000000"/>
                <w:sz w:val="20"/>
              </w:rPr>
              <w:t>Retain source attribution and share-alike terms</w:t>
            </w:r>
          </w:p>
        </w:tc>
      </w:tr>
    </w:tbl>
    <w:p>
      <w:pPr>
        <w:spacing w:after="0" w:line="60" w:lineRule="exact"/>
      </w:pPr>
    </w:p>
    <w:p>
      <w:pPr>
        <w:keepLines w:val="0"/>
        <w:spacing w:after="100"/>
      </w:pPr>
      <w:r>
        <w:rPr>
          <w:b/>
          <w:color w:val="000000"/>
        </w:rPr>
        <w:t xml:space="preserve">Use restriction. </w:t>
      </w:r>
      <w:r>
        <w:t>The project remains a non-commercial educational research exercise. Source and license metadata will be preserved throughout preprocessing and reporting.</w:t>
      </w:r>
    </w:p>
    <w:p>
      <w:pPr>
        <w:pStyle w:val="Heading1"/>
      </w:pPr>
      <w:r>
        <w:t>3. ML Task Alignment</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5"/>
        <w:gridCol w:w="4515"/>
      </w:tblGrid>
      <w:tr>
        <w:trPr>
          <w:tblHeader w:val="true"/>
          <w:cantSplit/>
        </w:trPr>
        <w:tc>
          <w:tcPr>
            <w:tcW w:type="dxa" w:w="2324"/>
            <w:tcMar>
              <w:top w:w="60" w:type="dxa"/>
              <w:start w:w="110" w:type="dxa"/>
              <w:bottom w:w="60" w:type="dxa"/>
              <w:end w:w="110" w:type="dxa"/>
            </w:tcMar>
            <w:vAlign w:val="center"/>
          </w:tcPr>
          <w:p>
            <w:pPr>
              <w:spacing w:after="0"/>
              <w:jc w:val="left"/>
            </w:pPr>
            <w:r>
              <w:rPr>
                <w:b/>
                <w:color w:val="000000"/>
                <w:sz w:val="21"/>
              </w:rPr>
              <w:t>Interface element</w:t>
            </w:r>
          </w:p>
        </w:tc>
        <w:tc>
          <w:tcPr>
            <w:tcW w:type="dxa" w:w="6633"/>
            <w:tcMar>
              <w:top w:w="60" w:type="dxa"/>
              <w:start w:w="110" w:type="dxa"/>
              <w:bottom w:w="60" w:type="dxa"/>
              <w:end w:w="110" w:type="dxa"/>
            </w:tcMar>
            <w:vAlign w:val="center"/>
          </w:tcPr>
          <w:p>
            <w:pPr>
              <w:spacing w:after="0"/>
              <w:jc w:val="left"/>
            </w:pPr>
            <w:r>
              <w:rPr>
                <w:b/>
                <w:color w:val="000000"/>
                <w:sz w:val="21"/>
              </w:rPr>
              <w:t>Definition</w:t>
            </w:r>
          </w:p>
        </w:tc>
      </w:tr>
      <w:tr>
        <w:trPr>
          <w:cantSplit/>
        </w:trPr>
        <w:tc>
          <w:tcPr>
            <w:tcW w:type="dxa" w:w="2324"/>
            <w:vAlign w:val="center"/>
            <w:tcMar>
              <w:top w:w="60" w:type="dxa"/>
              <w:start w:w="110" w:type="dxa"/>
              <w:bottom w:w="60" w:type="dxa"/>
              <w:end w:w="110" w:type="dxa"/>
            </w:tcMar>
          </w:tcPr>
          <w:p>
            <w:pPr>
              <w:spacing w:after="0" w:line="240" w:lineRule="auto"/>
              <w:jc w:val="left"/>
            </w:pPr>
            <w:r>
              <w:rPr>
                <w:color w:val="000000"/>
                <w:sz w:val="21"/>
              </w:rPr>
              <w:t>Input</w:t>
            </w:r>
          </w:p>
        </w:tc>
        <w:tc>
          <w:tcPr>
            <w:tcW w:type="dxa" w:w="6633"/>
            <w:vAlign w:val="center"/>
            <w:tcMar>
              <w:top w:w="60" w:type="dxa"/>
              <w:start w:w="110" w:type="dxa"/>
              <w:bottom w:w="60" w:type="dxa"/>
              <w:end w:w="110" w:type="dxa"/>
            </w:tcMar>
          </w:tcPr>
          <w:p>
            <w:pPr>
              <w:spacing w:after="0" w:line="240" w:lineRule="auto"/>
              <w:jc w:val="left"/>
            </w:pPr>
            <w:r>
              <w:rPr>
                <w:color w:val="000000"/>
                <w:sz w:val="21"/>
              </w:rPr>
              <w:t>One independent English sentence</w:t>
            </w:r>
          </w:p>
        </w:tc>
      </w:tr>
      <w:tr>
        <w:trPr>
          <w:cantSplit/>
        </w:trPr>
        <w:tc>
          <w:tcPr>
            <w:tcW w:type="dxa" w:w="2324"/>
            <w:vAlign w:val="center"/>
            <w:tcMar>
              <w:top w:w="60" w:type="dxa"/>
              <w:start w:w="110" w:type="dxa"/>
              <w:bottom w:w="60" w:type="dxa"/>
              <w:end w:w="110" w:type="dxa"/>
            </w:tcMar>
          </w:tcPr>
          <w:p>
            <w:pPr>
              <w:spacing w:after="0" w:line="240" w:lineRule="auto"/>
              <w:jc w:val="left"/>
            </w:pPr>
            <w:r>
              <w:rPr>
                <w:color w:val="000000"/>
                <w:sz w:val="21"/>
              </w:rPr>
              <w:t>Target</w:t>
            </w:r>
          </w:p>
        </w:tc>
        <w:tc>
          <w:tcPr>
            <w:tcW w:type="dxa" w:w="6633"/>
            <w:vAlign w:val="center"/>
            <w:tcMar>
              <w:top w:w="60" w:type="dxa"/>
              <w:start w:w="110" w:type="dxa"/>
              <w:bottom w:w="60" w:type="dxa"/>
              <w:end w:w="110" w:type="dxa"/>
            </w:tcMar>
          </w:tcPr>
          <w:p>
            <w:pPr>
              <w:spacing w:after="0" w:line="240" w:lineRule="auto"/>
              <w:jc w:val="left"/>
            </w:pPr>
            <w:r>
              <w:rPr>
                <w:color w:val="000000"/>
                <w:sz w:val="21"/>
              </w:rPr>
              <w:t>Exactly one of six labels: A1, A2, B1, B2, C1, C2</w:t>
            </w:r>
          </w:p>
        </w:tc>
      </w:tr>
      <w:tr>
        <w:trPr>
          <w:cantSplit/>
        </w:trPr>
        <w:tc>
          <w:tcPr>
            <w:tcW w:type="dxa" w:w="2324"/>
            <w:vAlign w:val="center"/>
            <w:tcMar>
              <w:top w:w="60" w:type="dxa"/>
              <w:start w:w="110" w:type="dxa"/>
              <w:bottom w:w="60" w:type="dxa"/>
              <w:end w:w="110" w:type="dxa"/>
            </w:tcMar>
          </w:tcPr>
          <w:p>
            <w:pPr>
              <w:spacing w:after="0" w:line="240" w:lineRule="auto"/>
              <w:jc w:val="left"/>
            </w:pPr>
            <w:r>
              <w:rPr>
                <w:color w:val="000000"/>
                <w:sz w:val="21"/>
              </w:rPr>
              <w:t>Inference output</w:t>
            </w:r>
          </w:p>
        </w:tc>
        <w:tc>
          <w:tcPr>
            <w:tcW w:type="dxa" w:w="6633"/>
            <w:vAlign w:val="center"/>
            <w:tcMar>
              <w:top w:w="60" w:type="dxa"/>
              <w:start w:w="110" w:type="dxa"/>
              <w:bottom w:w="60" w:type="dxa"/>
              <w:end w:w="110" w:type="dxa"/>
            </w:tcMar>
          </w:tcPr>
          <w:p>
            <w:pPr>
              <w:spacing w:after="0" w:line="240" w:lineRule="auto"/>
              <w:jc w:val="left"/>
            </w:pPr>
            <w:r>
              <w:rPr>
                <w:color w:val="000000"/>
                <w:sz w:val="21"/>
              </w:rPr>
              <w:t>Six-class probability distribution plus the highest-probability CEFR label</w:t>
            </w:r>
          </w:p>
        </w:tc>
      </w:tr>
      <w:tr>
        <w:trPr>
          <w:cantSplit/>
        </w:trPr>
        <w:tc>
          <w:tcPr>
            <w:tcW w:type="dxa" w:w="2324"/>
            <w:vAlign w:val="center"/>
            <w:tcMar>
              <w:top w:w="60" w:type="dxa"/>
              <w:start w:w="110" w:type="dxa"/>
              <w:bottom w:w="60" w:type="dxa"/>
              <w:end w:w="110" w:type="dxa"/>
            </w:tcMar>
          </w:tcPr>
          <w:p>
            <w:pPr>
              <w:spacing w:after="0" w:line="240" w:lineRule="auto"/>
              <w:jc w:val="left"/>
            </w:pPr>
            <w:r>
              <w:rPr>
                <w:color w:val="000000"/>
                <w:sz w:val="21"/>
              </w:rPr>
              <w:t>Verified training example</w:t>
            </w:r>
          </w:p>
        </w:tc>
        <w:tc>
          <w:tcPr>
            <w:tcW w:type="dxa" w:w="6633"/>
            <w:vAlign w:val="center"/>
            <w:tcMar>
              <w:top w:w="60" w:type="dxa"/>
              <w:start w:w="110" w:type="dxa"/>
              <w:bottom w:w="60" w:type="dxa"/>
              <w:end w:w="110" w:type="dxa"/>
            </w:tcMar>
          </w:tcPr>
          <w:p>
            <w:pPr>
              <w:spacing w:after="0" w:line="240" w:lineRule="auto"/>
              <w:jc w:val="left"/>
            </w:pPr>
            <w:r>
              <w:rPr>
                <w:color w:val="000000"/>
                <w:sz w:val="21"/>
              </w:rPr>
              <w:t>Text: "Is that your bike?"  |  Target: A1</w:t>
            </w:r>
          </w:p>
        </w:tc>
      </w:tr>
    </w:tbl>
    <w:p>
      <w:pPr>
        <w:spacing w:after="0" w:line="60" w:lineRule="exact"/>
      </w:pPr>
    </w:p>
    <w:p>
      <w:pPr>
        <w:keepLines w:val="0"/>
        <w:spacing w:after="100"/>
      </w:pPr>
      <w:r>
        <w:rPr>
          <w:b/>
          <w:color w:val="000000"/>
        </w:rPr>
        <w:t xml:space="preserve">Learning formulation. </w:t>
      </w:r>
      <w:r>
        <w:t>The system performs six-class sentence classification. C1 and C2 remain separate so that the output matches the dataset and the teacher can see the full CEFR scale.</w:t>
      </w:r>
    </w:p>
    <w:p>
      <w:pPr>
        <w:keepLines w:val="0"/>
        <w:spacing w:after="100"/>
      </w:pPr>
      <w:r>
        <w:rPr>
          <w:b/>
          <w:color w:val="000000"/>
        </w:rPr>
        <w:t xml:space="preserve">Ordinal structure. </w:t>
      </w:r>
      <w:r>
        <w:t>CEFR labels are ordered: predicting A2 for an A1 sentence is less serious than predicting C2. Training remains a six-class classification task, while evaluation includes quadratic weighted kappa so that larger level gaps receive larger penalties.</w:t>
      </w:r>
    </w:p>
    <w:p>
      <w:pPr>
        <w:pStyle w:val="Heading1"/>
      </w:pPr>
      <w:r>
        <w:t>4. Model Plan</w:t>
      </w:r>
    </w:p>
    <w:p>
      <w:pPr>
        <w:keepLines w:val="0"/>
        <w:spacing w:after="100"/>
      </w:pPr>
      <w:r>
        <w:rPr>
          <w:b/>
          <w:color w:val="000000"/>
        </w:rPr>
        <w:t xml:space="preserve">Baseline - majority-class predictor. </w:t>
      </w:r>
      <w:r>
        <w:t>The baseline always predicts the most frequent class in the official training set, B2. It is deliberately simpler than both model families and establishes the minimum result that a learned model must exceed.</w:t>
      </w:r>
    </w:p>
    <w:p>
      <w:pPr>
        <w:keepLines w:val="0"/>
        <w:spacing w:after="100"/>
      </w:pPr>
      <w:r>
        <w:rPr>
          <w:b/>
          <w:color w:val="000000"/>
        </w:rPr>
        <w:t xml:space="preserve">Model 1 - word unigram-bigram TF-IDF with multinomial Logistic Regression. </w:t>
      </w:r>
      <w:r>
        <w:t>The vectorizer will represent individual words and short phrases, and the classifier will use balanced class weights. The hypothesis is that lexical choice and short phrase patterns provide strong CEFR signals. To test whether the model is learning topic or source instead of difficulty, the analysis will inspect the largest positive coefficients for each class and report performance separately for SCoRE and Wiki-Auto.</w:t>
      </w:r>
    </w:p>
    <w:p>
      <w:pPr>
        <w:keepLines w:val="0"/>
        <w:spacing w:after="100"/>
      </w:pPr>
      <w:r>
        <w:rPr>
          <w:b/>
          <w:color w:val="000000"/>
        </w:rPr>
        <w:t xml:space="preserve">Model 2 - BiLSTM. </w:t>
      </w:r>
      <w:r>
        <w:t>The neural model will use 100-dimensional GloVe word embeddings, a bidirectional LSTM encoder, dropout, class-weighted cross-entropy, and early stopping selected on validation data. The hypothesis is that word order and sequential structure add signals that a bag-of-ngrams representation can miss.</w:t>
      </w:r>
    </w:p>
    <w:p>
      <w:pPr>
        <w:keepLines w:val="0"/>
        <w:spacing w:after="100"/>
      </w:pPr>
      <w:r>
        <w:rPr>
          <w:b/>
          <w:color w:val="000000"/>
        </w:rPr>
        <w:t xml:space="preserve">Expected trade-off. </w:t>
      </w:r>
      <w:r>
        <w:t>The sentences are short and the dataset contains only about 10,000 examples, so the BiLSTM may show only a small advantage or may overfit. The comparison is therefore empirical: TF-IDF plus Logistic Regression tests a strong lexical model, while BiLSTM tests whether sequence information adds value under this data budget.</w:t>
      </w:r>
    </w:p>
    <w:p>
      <w:pPr>
        <w:pStyle w:val="Heading1"/>
      </w:pPr>
      <w:r>
        <w:t>5. Evaluation Plan</w:t>
      </w:r>
    </w:p>
    <w:p>
      <w:pPr>
        <w:keepLines w:val="0"/>
        <w:spacing w:after="100"/>
      </w:pPr>
      <w:r>
        <w:rPr>
          <w:b/>
          <w:color w:val="000000"/>
        </w:rPr>
        <w:t xml:space="preserve">Official split. </w:t>
      </w:r>
      <w:r>
        <w:t>Do not create a new random 80/10/10 split. Map the Hugging Face rows to the official CEFR-SP split: 7,178 training sentences, 1,366 validation sentences, and 1,460 test sentences. The original split was designed so that highly similar sentences do not appear across training and validation/test. Class proportions are intentionally not identical because the dataset authors reserved additional rare-class examples for validation and test.</w:t>
      </w:r>
    </w:p>
    <w:p>
      <w:pPr>
        <w:keepLines w:val="0"/>
        <w:spacing w:after="100"/>
      </w:pPr>
      <w:r>
        <w:rPr>
          <w:b/>
          <w:color w:val="000000"/>
        </w:rPr>
        <w:t xml:space="preserve">Duplicate handling. </w:t>
      </w:r>
      <w:r>
        <w:t>One exact duplicate occurs within the official training split. Remove the repeated copy before fitting, leaving 7,177 unique training sentences; do not move records between splits.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10"/>
        <w:gridCol w:w="3010"/>
        <w:gridCol w:w="3010"/>
      </w:tblGrid>
      <w:tr>
        <w:trPr>
          <w:tblHeader w:val="true"/>
          <w:cantSplit/>
        </w:trPr>
        <w:tc>
          <w:tcPr>
            <w:tcW w:type="dxa" w:w="1474"/>
            <w:tcMar>
              <w:top w:w="60" w:type="dxa"/>
              <w:start w:w="110" w:type="dxa"/>
              <w:bottom w:w="60" w:type="dxa"/>
              <w:end w:w="110" w:type="dxa"/>
            </w:tcMar>
            <w:vAlign w:val="center"/>
          </w:tcPr>
          <w:p>
            <w:pPr>
              <w:keepNext/>
              <w:spacing w:after="0"/>
              <w:jc w:val="left"/>
            </w:pPr>
            <w:r>
              <w:rPr>
                <w:b/>
                <w:color w:val="000000"/>
                <w:sz w:val="21"/>
              </w:rPr>
              <w:t>Split</w:t>
            </w:r>
          </w:p>
        </w:tc>
        <w:tc>
          <w:tcPr>
            <w:tcW w:type="dxa" w:w="2835"/>
            <w:tcMar>
              <w:top w:w="60" w:type="dxa"/>
              <w:start w:w="110" w:type="dxa"/>
              <w:bottom w:w="60" w:type="dxa"/>
              <w:end w:w="110" w:type="dxa"/>
            </w:tcMar>
            <w:vAlign w:val="center"/>
          </w:tcPr>
          <w:p>
            <w:pPr>
              <w:keepNext/>
              <w:spacing w:after="0"/>
              <w:jc w:val="left"/>
            </w:pPr>
            <w:r>
              <w:rPr>
                <w:b/>
                <w:color w:val="000000"/>
                <w:sz w:val="21"/>
              </w:rPr>
              <w:t>Mapped rows</w:t>
            </w:r>
          </w:p>
        </w:tc>
        <w:tc>
          <w:tcPr>
            <w:tcW w:type="dxa" w:w="4649"/>
            <w:tcMar>
              <w:top w:w="60" w:type="dxa"/>
              <w:start w:w="110" w:type="dxa"/>
              <w:bottom w:w="60" w:type="dxa"/>
              <w:end w:w="110" w:type="dxa"/>
            </w:tcMar>
            <w:vAlign w:val="center"/>
          </w:tcPr>
          <w:p>
            <w:pPr>
              <w:keepNext/>
              <w:spacing w:after="0"/>
              <w:jc w:val="left"/>
            </w:pPr>
            <w:r>
              <w:rPr>
                <w:b/>
                <w:color w:val="000000"/>
                <w:sz w:val="21"/>
              </w:rPr>
              <w:t>Role</w:t>
            </w:r>
          </w:p>
        </w:tc>
      </w:tr>
      <w:tr>
        <w:trPr>
          <w:cantSplit/>
        </w:trPr>
        <w:tc>
          <w:tcPr>
            <w:tcW w:type="dxa" w:w="1474"/>
            <w:vAlign w:val="center"/>
            <w:tcMar>
              <w:top w:w="60" w:type="dxa"/>
              <w:start w:w="110" w:type="dxa"/>
              <w:bottom w:w="60" w:type="dxa"/>
              <w:end w:w="110" w:type="dxa"/>
            </w:tcMar>
          </w:tcPr>
          <w:p>
            <w:pPr>
              <w:keepNext/>
              <w:spacing w:after="0" w:line="240" w:lineRule="auto"/>
              <w:jc w:val="left"/>
            </w:pPr>
            <w:r>
              <w:rPr>
                <w:color w:val="000000"/>
                <w:sz w:val="21"/>
              </w:rPr>
              <w:t>Train</w:t>
            </w:r>
          </w:p>
        </w:tc>
        <w:tc>
          <w:tcPr>
            <w:tcW w:type="dxa" w:w="2835"/>
            <w:vAlign w:val="center"/>
            <w:tcMar>
              <w:top w:w="60" w:type="dxa"/>
              <w:start w:w="110" w:type="dxa"/>
              <w:bottom w:w="60" w:type="dxa"/>
              <w:end w:w="110" w:type="dxa"/>
            </w:tcMar>
          </w:tcPr>
          <w:p>
            <w:pPr>
              <w:keepNext/>
              <w:spacing w:after="0" w:line="240" w:lineRule="auto"/>
              <w:jc w:val="left"/>
            </w:pPr>
            <w:r>
              <w:rPr>
                <w:color w:val="000000"/>
                <w:sz w:val="21"/>
              </w:rPr>
              <w:t>7,178 (7,177 after one duplicate is removed)</w:t>
            </w:r>
          </w:p>
        </w:tc>
        <w:tc>
          <w:tcPr>
            <w:tcW w:type="dxa" w:w="4649"/>
            <w:vAlign w:val="center"/>
            <w:tcMar>
              <w:top w:w="60" w:type="dxa"/>
              <w:start w:w="110" w:type="dxa"/>
              <w:bottom w:w="60" w:type="dxa"/>
              <w:end w:w="110" w:type="dxa"/>
            </w:tcMar>
          </w:tcPr>
          <w:p>
            <w:pPr>
              <w:keepNext/>
              <w:spacing w:after="0" w:line="240" w:lineRule="auto"/>
              <w:jc w:val="left"/>
            </w:pPr>
            <w:r>
              <w:rPr>
                <w:color w:val="000000"/>
                <w:sz w:val="21"/>
              </w:rPr>
              <w:t>Fit preprocessing and model parameters</w:t>
            </w:r>
          </w:p>
        </w:tc>
      </w:tr>
      <w:tr>
        <w:trPr>
          <w:cantSplit/>
        </w:trPr>
        <w:tc>
          <w:tcPr>
            <w:tcW w:type="dxa" w:w="1474"/>
            <w:vAlign w:val="center"/>
            <w:tcMar>
              <w:top w:w="60" w:type="dxa"/>
              <w:start w:w="110" w:type="dxa"/>
              <w:bottom w:w="60" w:type="dxa"/>
              <w:end w:w="110" w:type="dxa"/>
            </w:tcMar>
          </w:tcPr>
          <w:p>
            <w:pPr>
              <w:keepNext/>
              <w:spacing w:after="0" w:line="240" w:lineRule="auto"/>
              <w:jc w:val="left"/>
            </w:pPr>
            <w:r>
              <w:rPr>
                <w:color w:val="000000"/>
                <w:sz w:val="21"/>
              </w:rPr>
              <w:t>Validation</w:t>
            </w:r>
          </w:p>
        </w:tc>
        <w:tc>
          <w:tcPr>
            <w:tcW w:type="dxa" w:w="2835"/>
            <w:vAlign w:val="center"/>
            <w:tcMar>
              <w:top w:w="60" w:type="dxa"/>
              <w:start w:w="110" w:type="dxa"/>
              <w:bottom w:w="60" w:type="dxa"/>
              <w:end w:w="110" w:type="dxa"/>
            </w:tcMar>
          </w:tcPr>
          <w:p>
            <w:pPr>
              <w:keepNext/>
              <w:spacing w:after="0" w:line="240" w:lineRule="auto"/>
              <w:jc w:val="left"/>
            </w:pPr>
            <w:r>
              <w:rPr>
                <w:color w:val="000000"/>
                <w:sz w:val="21"/>
              </w:rPr>
              <w:t>1,366</w:t>
            </w:r>
          </w:p>
        </w:tc>
        <w:tc>
          <w:tcPr>
            <w:tcW w:type="dxa" w:w="4649"/>
            <w:vAlign w:val="center"/>
            <w:tcMar>
              <w:top w:w="60" w:type="dxa"/>
              <w:start w:w="110" w:type="dxa"/>
              <w:bottom w:w="60" w:type="dxa"/>
              <w:end w:w="110" w:type="dxa"/>
            </w:tcMar>
          </w:tcPr>
          <w:p>
            <w:pPr>
              <w:keepNext/>
              <w:spacing w:after="0" w:line="240" w:lineRule="auto"/>
              <w:jc w:val="left"/>
            </w:pPr>
            <w:r>
              <w:rPr>
                <w:color w:val="000000"/>
                <w:sz w:val="21"/>
              </w:rPr>
              <w:t>Select hyperparameters and early stopping</w:t>
            </w:r>
          </w:p>
        </w:tc>
      </w:tr>
      <w:tr>
        <w:trPr>
          <w:cantSplit/>
        </w:trPr>
        <w:tc>
          <w:tcPr>
            <w:tcW w:type="dxa" w:w="1474"/>
            <w:vAlign w:val="center"/>
            <w:tcMar>
              <w:top w:w="60" w:type="dxa"/>
              <w:start w:w="110" w:type="dxa"/>
              <w:bottom w:w="60" w:type="dxa"/>
              <w:end w:w="110" w:type="dxa"/>
            </w:tcMar>
          </w:tcPr>
          <w:p>
            <w:pPr>
              <w:spacing w:after="0" w:line="240" w:lineRule="auto"/>
              <w:jc w:val="left"/>
            </w:pPr>
            <w:r>
              <w:rPr>
                <w:color w:val="000000"/>
                <w:sz w:val="21"/>
              </w:rPr>
              <w:t>Test</w:t>
            </w:r>
          </w:p>
        </w:tc>
        <w:tc>
          <w:tcPr>
            <w:tcW w:type="dxa" w:w="2835"/>
            <w:vAlign w:val="center"/>
            <w:tcMar>
              <w:top w:w="60" w:type="dxa"/>
              <w:start w:w="110" w:type="dxa"/>
              <w:bottom w:w="60" w:type="dxa"/>
              <w:end w:w="110" w:type="dxa"/>
            </w:tcMar>
          </w:tcPr>
          <w:p>
            <w:pPr>
              <w:spacing w:after="0" w:line="240" w:lineRule="auto"/>
              <w:jc w:val="left"/>
            </w:pPr>
            <w:r>
              <w:rPr>
                <w:color w:val="000000"/>
                <w:sz w:val="21"/>
              </w:rPr>
              <w:t>1,460</w:t>
            </w:r>
          </w:p>
        </w:tc>
        <w:tc>
          <w:tcPr>
            <w:tcW w:type="dxa" w:w="4649"/>
            <w:vAlign w:val="center"/>
            <w:tcMar>
              <w:top w:w="60" w:type="dxa"/>
              <w:start w:w="110" w:type="dxa"/>
              <w:bottom w:w="60" w:type="dxa"/>
              <w:end w:w="110" w:type="dxa"/>
            </w:tcMar>
          </w:tcPr>
          <w:p>
            <w:pPr>
              <w:spacing w:after="0" w:line="240" w:lineRule="auto"/>
              <w:jc w:val="left"/>
            </w:pPr>
            <w:r>
              <w:rPr>
                <w:color w:val="000000"/>
                <w:sz w:val="21"/>
              </w:rPr>
              <w:t>Evaluate once after the model is fixed</w:t>
            </w:r>
          </w:p>
        </w:tc>
      </w:tr>
    </w:tbl>
    <w:p>
      <w:pPr>
        <w:spacing w:after="0" w:line="60" w:lineRule="exact"/>
      </w:pPr>
    </w:p>
    <w:p>
      <w:pPr>
        <w:keepLines w:val="0"/>
        <w:spacing w:after="100"/>
      </w:pPr>
      <w:r>
        <w:rPr>
          <w:b/>
          <w:color w:val="000000"/>
        </w:rPr>
        <w:t xml:space="preserve">Test-set support. </w:t>
      </w:r>
      <w:r>
        <w:t>Per-class metrics will always be interpreted together with the following number of test examples:</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9"/>
        <w:gridCol w:w="1129"/>
        <w:gridCol w:w="1129"/>
        <w:gridCol w:w="1129"/>
        <w:gridCol w:w="1129"/>
        <w:gridCol w:w="1129"/>
        <w:gridCol w:w="1129"/>
        <w:gridCol w:w="1129"/>
      </w:tblGrid>
      <w:tr>
        <w:trPr>
          <w:tblHeader w:val="true"/>
          <w:cantSplit/>
        </w:trPr>
        <w:tc>
          <w:tcPr>
            <w:tcW w:type="dxa" w:w="1134"/>
            <w:tcMar>
              <w:top w:w="60" w:type="dxa"/>
              <w:start w:w="110" w:type="dxa"/>
              <w:bottom w:w="60" w:type="dxa"/>
              <w:end w:w="110" w:type="dxa"/>
            </w:tcMar>
            <w:vAlign w:val="center"/>
          </w:tcPr>
          <w:p>
            <w:pPr>
              <w:spacing w:after="0"/>
              <w:jc w:val="left"/>
            </w:pPr>
            <w:r>
              <w:rPr>
                <w:b/>
                <w:color w:val="000000"/>
                <w:sz w:val="20"/>
              </w:rPr>
              <w:t>Class</w:t>
            </w:r>
          </w:p>
        </w:tc>
        <w:tc>
          <w:tcPr>
            <w:tcW w:type="dxa" w:w="1048"/>
            <w:tcMar>
              <w:top w:w="60" w:type="dxa"/>
              <w:start w:w="110" w:type="dxa"/>
              <w:bottom w:w="60" w:type="dxa"/>
              <w:end w:w="110" w:type="dxa"/>
            </w:tcMar>
            <w:vAlign w:val="center"/>
          </w:tcPr>
          <w:p>
            <w:pPr>
              <w:spacing w:after="0"/>
              <w:jc w:val="center"/>
            </w:pPr>
            <w:r>
              <w:rPr>
                <w:b/>
                <w:color w:val="000000"/>
                <w:sz w:val="20"/>
              </w:rPr>
              <w:t>A1</w:t>
            </w:r>
          </w:p>
        </w:tc>
        <w:tc>
          <w:tcPr>
            <w:tcW w:type="dxa" w:w="1134"/>
            <w:tcMar>
              <w:top w:w="60" w:type="dxa"/>
              <w:start w:w="110" w:type="dxa"/>
              <w:bottom w:w="60" w:type="dxa"/>
              <w:end w:w="110" w:type="dxa"/>
            </w:tcMar>
            <w:vAlign w:val="center"/>
          </w:tcPr>
          <w:p>
            <w:pPr>
              <w:spacing w:after="0"/>
              <w:jc w:val="center"/>
            </w:pPr>
            <w:r>
              <w:rPr>
                <w:b/>
                <w:color w:val="000000"/>
                <w:sz w:val="20"/>
              </w:rPr>
              <w:t>A2</w:t>
            </w:r>
          </w:p>
        </w:tc>
        <w:tc>
          <w:tcPr>
            <w:tcW w:type="dxa" w:w="1134"/>
            <w:tcMar>
              <w:top w:w="60" w:type="dxa"/>
              <w:start w:w="110" w:type="dxa"/>
              <w:bottom w:w="60" w:type="dxa"/>
              <w:end w:w="110" w:type="dxa"/>
            </w:tcMar>
            <w:vAlign w:val="center"/>
          </w:tcPr>
          <w:p>
            <w:pPr>
              <w:spacing w:after="0"/>
              <w:jc w:val="center"/>
            </w:pPr>
            <w:r>
              <w:rPr>
                <w:b/>
                <w:color w:val="000000"/>
                <w:sz w:val="20"/>
              </w:rPr>
              <w:t>B1</w:t>
            </w:r>
          </w:p>
        </w:tc>
        <w:tc>
          <w:tcPr>
            <w:tcW w:type="dxa" w:w="1134"/>
            <w:tcMar>
              <w:top w:w="60" w:type="dxa"/>
              <w:start w:w="110" w:type="dxa"/>
              <w:bottom w:w="60" w:type="dxa"/>
              <w:end w:w="110" w:type="dxa"/>
            </w:tcMar>
            <w:vAlign w:val="center"/>
          </w:tcPr>
          <w:p>
            <w:pPr>
              <w:spacing w:after="0"/>
              <w:jc w:val="center"/>
            </w:pPr>
            <w:r>
              <w:rPr>
                <w:b/>
                <w:color w:val="000000"/>
                <w:sz w:val="20"/>
              </w:rPr>
              <w:t>B2</w:t>
            </w:r>
          </w:p>
        </w:tc>
        <w:tc>
          <w:tcPr>
            <w:tcW w:type="dxa" w:w="1134"/>
            <w:tcMar>
              <w:top w:w="60" w:type="dxa"/>
              <w:start w:w="110" w:type="dxa"/>
              <w:bottom w:w="60" w:type="dxa"/>
              <w:end w:w="110" w:type="dxa"/>
            </w:tcMar>
            <w:vAlign w:val="center"/>
          </w:tcPr>
          <w:p>
            <w:pPr>
              <w:spacing w:after="0"/>
              <w:jc w:val="center"/>
            </w:pPr>
            <w:r>
              <w:rPr>
                <w:b/>
                <w:color w:val="000000"/>
                <w:sz w:val="20"/>
              </w:rPr>
              <w:t>C1</w:t>
            </w:r>
          </w:p>
        </w:tc>
        <w:tc>
          <w:tcPr>
            <w:tcW w:type="dxa" w:w="1048"/>
            <w:tcMar>
              <w:top w:w="60" w:type="dxa"/>
              <w:start w:w="110" w:type="dxa"/>
              <w:bottom w:w="60" w:type="dxa"/>
              <w:end w:w="110" w:type="dxa"/>
            </w:tcMar>
            <w:vAlign w:val="center"/>
          </w:tcPr>
          <w:p>
            <w:pPr>
              <w:spacing w:after="0"/>
              <w:jc w:val="center"/>
            </w:pPr>
            <w:r>
              <w:rPr>
                <w:b/>
                <w:color w:val="000000"/>
                <w:sz w:val="20"/>
              </w:rPr>
              <w:t>C2</w:t>
            </w:r>
          </w:p>
        </w:tc>
        <w:tc>
          <w:tcPr>
            <w:tcW w:type="dxa" w:w="1190"/>
            <w:tcMar>
              <w:top w:w="60" w:type="dxa"/>
              <w:start w:w="110" w:type="dxa"/>
              <w:bottom w:w="60" w:type="dxa"/>
              <w:end w:w="110" w:type="dxa"/>
            </w:tcMar>
            <w:vAlign w:val="center"/>
          </w:tcPr>
          <w:p>
            <w:pPr>
              <w:spacing w:after="0"/>
              <w:jc w:val="center"/>
            </w:pPr>
            <w:r>
              <w:rPr>
                <w:b/>
                <w:color w:val="000000"/>
                <w:sz w:val="20"/>
              </w:rPr>
              <w:t>Total</w:t>
            </w:r>
          </w:p>
        </w:tc>
      </w:tr>
      <w:tr>
        <w:trPr>
          <w:cantSplit/>
        </w:trPr>
        <w:tc>
          <w:tcPr>
            <w:tcW w:type="dxa" w:w="1134"/>
            <w:vAlign w:val="center"/>
            <w:tcMar>
              <w:top w:w="60" w:type="dxa"/>
              <w:start w:w="110" w:type="dxa"/>
              <w:bottom w:w="60" w:type="dxa"/>
              <w:end w:w="110" w:type="dxa"/>
            </w:tcMar>
          </w:tcPr>
          <w:p>
            <w:pPr>
              <w:spacing w:after="0" w:line="240" w:lineRule="auto"/>
              <w:jc w:val="left"/>
            </w:pPr>
            <w:r>
              <w:rPr>
                <w:color w:val="000000"/>
                <w:sz w:val="20"/>
              </w:rPr>
              <w:t>Sentences</w:t>
            </w:r>
          </w:p>
        </w:tc>
        <w:tc>
          <w:tcPr>
            <w:tcW w:type="dxa" w:w="1048"/>
            <w:vAlign w:val="center"/>
            <w:tcMar>
              <w:top w:w="60" w:type="dxa"/>
              <w:start w:w="110" w:type="dxa"/>
              <w:bottom w:w="60" w:type="dxa"/>
              <w:end w:w="110" w:type="dxa"/>
            </w:tcMar>
          </w:tcPr>
          <w:p>
            <w:pPr>
              <w:spacing w:after="0" w:line="240" w:lineRule="auto"/>
              <w:jc w:val="center"/>
            </w:pPr>
            <w:r>
              <w:rPr>
                <w:color w:val="000000"/>
                <w:sz w:val="20"/>
              </w:rPr>
              <w:t>37</w:t>
            </w:r>
          </w:p>
        </w:tc>
        <w:tc>
          <w:tcPr>
            <w:tcW w:type="dxa" w:w="1134"/>
            <w:vAlign w:val="center"/>
            <w:tcMar>
              <w:top w:w="60" w:type="dxa"/>
              <w:start w:w="110" w:type="dxa"/>
              <w:bottom w:w="60" w:type="dxa"/>
              <w:end w:w="110" w:type="dxa"/>
            </w:tcMar>
          </w:tcPr>
          <w:p>
            <w:pPr>
              <w:spacing w:after="0" w:line="240" w:lineRule="auto"/>
              <w:jc w:val="center"/>
            </w:pPr>
            <w:r>
              <w:rPr>
                <w:color w:val="000000"/>
                <w:sz w:val="20"/>
              </w:rPr>
              <w:t>158</w:t>
            </w:r>
          </w:p>
        </w:tc>
        <w:tc>
          <w:tcPr>
            <w:tcW w:type="dxa" w:w="1134"/>
            <w:vAlign w:val="center"/>
            <w:tcMar>
              <w:top w:w="60" w:type="dxa"/>
              <w:start w:w="110" w:type="dxa"/>
              <w:bottom w:w="60" w:type="dxa"/>
              <w:end w:w="110" w:type="dxa"/>
            </w:tcMar>
          </w:tcPr>
          <w:p>
            <w:pPr>
              <w:spacing w:after="0" w:line="240" w:lineRule="auto"/>
              <w:jc w:val="center"/>
            </w:pPr>
            <w:r>
              <w:rPr>
                <w:color w:val="000000"/>
                <w:sz w:val="20"/>
              </w:rPr>
              <w:t>547</w:t>
            </w:r>
          </w:p>
        </w:tc>
        <w:tc>
          <w:tcPr>
            <w:tcW w:type="dxa" w:w="1134"/>
            <w:vAlign w:val="center"/>
            <w:tcMar>
              <w:top w:w="60" w:type="dxa"/>
              <w:start w:w="110" w:type="dxa"/>
              <w:bottom w:w="60" w:type="dxa"/>
              <w:end w:w="110" w:type="dxa"/>
            </w:tcMar>
          </w:tcPr>
          <w:p>
            <w:pPr>
              <w:spacing w:after="0" w:line="240" w:lineRule="auto"/>
              <w:jc w:val="center"/>
            </w:pPr>
            <w:r>
              <w:rPr>
                <w:color w:val="000000"/>
                <w:sz w:val="20"/>
              </w:rPr>
              <w:t>459</w:t>
            </w:r>
          </w:p>
        </w:tc>
        <w:tc>
          <w:tcPr>
            <w:tcW w:type="dxa" w:w="1134"/>
            <w:vAlign w:val="center"/>
            <w:tcMar>
              <w:top w:w="60" w:type="dxa"/>
              <w:start w:w="110" w:type="dxa"/>
              <w:bottom w:w="60" w:type="dxa"/>
              <w:end w:w="110" w:type="dxa"/>
            </w:tcMar>
          </w:tcPr>
          <w:p>
            <w:pPr>
              <w:spacing w:after="0" w:line="240" w:lineRule="auto"/>
              <w:jc w:val="center"/>
            </w:pPr>
            <w:r>
              <w:rPr>
                <w:color w:val="000000"/>
                <w:sz w:val="20"/>
              </w:rPr>
              <w:t>187</w:t>
            </w:r>
          </w:p>
        </w:tc>
        <w:tc>
          <w:tcPr>
            <w:tcW w:type="dxa" w:w="1048"/>
            <w:vAlign w:val="center"/>
            <w:tcMar>
              <w:top w:w="60" w:type="dxa"/>
              <w:start w:w="110" w:type="dxa"/>
              <w:bottom w:w="60" w:type="dxa"/>
              <w:end w:w="110" w:type="dxa"/>
            </w:tcMar>
          </w:tcPr>
          <w:p>
            <w:pPr>
              <w:spacing w:after="0" w:line="240" w:lineRule="auto"/>
              <w:jc w:val="center"/>
            </w:pPr>
            <w:r>
              <w:rPr>
                <w:color w:val="000000"/>
                <w:sz w:val="20"/>
              </w:rPr>
              <w:t>72</w:t>
            </w:r>
          </w:p>
        </w:tc>
        <w:tc>
          <w:tcPr>
            <w:tcW w:type="dxa" w:w="1190"/>
            <w:vAlign w:val="center"/>
            <w:tcMar>
              <w:top w:w="60" w:type="dxa"/>
              <w:start w:w="110" w:type="dxa"/>
              <w:bottom w:w="60" w:type="dxa"/>
              <w:end w:w="110" w:type="dxa"/>
            </w:tcMar>
          </w:tcPr>
          <w:p>
            <w:pPr>
              <w:spacing w:after="0" w:line="240" w:lineRule="auto"/>
              <w:jc w:val="center"/>
            </w:pPr>
            <w:r>
              <w:rPr>
                <w:color w:val="000000"/>
                <w:sz w:val="20"/>
              </w:rPr>
              <w:t>1,460</w:t>
            </w:r>
          </w:p>
        </w:tc>
      </w:tr>
    </w:tbl>
    <w:p>
      <w:pPr>
        <w:spacing w:after="0" w:line="60" w:lineRule="exact"/>
      </w:pPr>
    </w:p>
    <w:p>
      <w:pPr>
        <w:keepLines w:val="0"/>
        <w:spacing w:after="100"/>
      </w:pPr>
      <w:r>
        <w:rPr>
          <w:b/>
          <w:color w:val="000000"/>
        </w:rPr>
        <w:t xml:space="preserve">Leakage control. </w:t>
      </w:r>
      <w:r>
        <w:t>Fit the tokenizer, vocabulary, TF-IDF statistics, label mappings, and any learned preprocessing only on training data. Use validation data for hyperparameter selection and early stopping. Keep the test set untouched until all model choices are fixed.</w:t>
      </w:r>
    </w:p>
    <w:p>
      <w:pPr>
        <w:keepLines w:val="0"/>
        <w:spacing w:after="100"/>
      </w:pPr>
      <w:r>
        <w:rPr>
          <w:b/>
          <w:color w:val="000000"/>
        </w:rPr>
        <w:t xml:space="preserve">Primary metric - macro-F1. </w:t>
      </w:r>
      <w:r>
        <w:t>Macro-F1 gives every CEFR class equal weight, so strong performance on the frequent B1/B2 classes cannot hide weak performance on A1 or C2.</w:t>
      </w:r>
    </w:p>
    <w:p>
      <w:pPr>
        <w:keepLines w:val="0"/>
        <w:spacing w:after="100"/>
      </w:pPr>
      <w:r>
        <w:rPr>
          <w:b/>
          <w:color w:val="000000"/>
        </w:rPr>
        <w:t xml:space="preserve">Ordinal metric - quadratic weighted kappa. </w:t>
      </w:r>
      <w:r>
        <w:t>This metric uses the order of CEFR levels and penalizes predictions more strongly as the distance from the true level grows. It therefore distinguishes a one-step error such as A1 to A2 from a five-step error such as A1 to C2.</w:t>
      </w:r>
    </w:p>
    <w:p>
      <w:pPr>
        <w:keepLines w:val="0"/>
        <w:spacing w:after="100"/>
      </w:pPr>
      <w:r>
        <w:rPr>
          <w:b/>
          <w:color w:val="000000"/>
        </w:rPr>
        <w:t xml:space="preserve">Additional reporting. </w:t>
      </w:r>
      <w:r>
        <w:t>Report accuracy, the confusion matrix, and precision, recall, F1, and support for each class. Estimate 95% confidence intervals with 1,000 stratified bootstrap samples. Interpret A1 F1 especially cautiously because only 37 A1 sentences are present in the test set.</w:t>
      </w:r>
    </w:p>
    <w:p>
      <w:pPr>
        <w:pStyle w:val="Heading1"/>
      </w:pPr>
      <w:r>
        <w:t>6. Risks and Responsible Use</w:t>
      </w:r>
    </w:p>
    <w:tbl>
      <w:tblPr>
        <w:tblStyle w:val="TableGrid"/>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5"/>
        <w:gridCol w:w="4515"/>
      </w:tblGrid>
      <w:tr>
        <w:trPr>
          <w:tblHeader w:val="true"/>
          <w:cantSplit/>
        </w:trPr>
        <w:tc>
          <w:tcPr>
            <w:tcW w:type="dxa" w:w="2154"/>
            <w:tcMar>
              <w:top w:w="60" w:type="dxa"/>
              <w:start w:w="110" w:type="dxa"/>
              <w:bottom w:w="60" w:type="dxa"/>
              <w:end w:w="110" w:type="dxa"/>
            </w:tcMar>
            <w:vAlign w:val="center"/>
          </w:tcPr>
          <w:p>
            <w:pPr>
              <w:spacing w:after="0"/>
              <w:jc w:val="left"/>
            </w:pPr>
            <w:r>
              <w:rPr>
                <w:b/>
                <w:color w:val="000000"/>
                <w:sz w:val="20"/>
              </w:rPr>
              <w:t>Risk</w:t>
            </w:r>
          </w:p>
        </w:tc>
        <w:tc>
          <w:tcPr>
            <w:tcW w:type="dxa" w:w="6804"/>
            <w:tcMar>
              <w:top w:w="60" w:type="dxa"/>
              <w:start w:w="110" w:type="dxa"/>
              <w:bottom w:w="60" w:type="dxa"/>
              <w:end w:w="110" w:type="dxa"/>
            </w:tcMar>
            <w:vAlign w:val="center"/>
          </w:tcPr>
          <w:p>
            <w:pPr>
              <w:spacing w:after="0"/>
              <w:jc w:val="left"/>
            </w:pPr>
            <w:r>
              <w:rPr>
                <w:b/>
                <w:color w:val="000000"/>
                <w:sz w:val="20"/>
              </w:rPr>
              <w:t>Response in this project</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Label ambiguity</w:t>
            </w:r>
          </w:p>
        </w:tc>
        <w:tc>
          <w:tcPr>
            <w:tcW w:type="dxa" w:w="6804"/>
            <w:vAlign w:val="center"/>
            <w:tcMar>
              <w:top w:w="60" w:type="dxa"/>
              <w:start w:w="110" w:type="dxa"/>
              <w:bottom w:w="60" w:type="dxa"/>
              <w:end w:w="110" w:type="dxa"/>
            </w:tcMar>
          </w:tcPr>
          <w:p>
            <w:pPr>
              <w:spacing w:after="0" w:line="240" w:lineRule="auto"/>
              <w:jc w:val="left"/>
            </w:pPr>
            <w:r>
              <w:rPr>
                <w:color w:val="000000"/>
                <w:sz w:val="20"/>
              </w:rPr>
              <w:t>Two experts do not always agree. Report the approximately 41.4% exact agreement in the public subset, preserve both original labels for audit, and avoid presenting CEFR as perfectly objective.</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Class imbalance</w:t>
            </w:r>
          </w:p>
        </w:tc>
        <w:tc>
          <w:tcPr>
            <w:tcW w:type="dxa" w:w="6804"/>
            <w:vAlign w:val="center"/>
            <w:tcMar>
              <w:top w:w="60" w:type="dxa"/>
              <w:start w:w="110" w:type="dxa"/>
              <w:bottom w:w="60" w:type="dxa"/>
              <w:end w:w="110" w:type="dxa"/>
            </w:tcMar>
          </w:tcPr>
          <w:p>
            <w:pPr>
              <w:spacing w:after="0" w:line="240" w:lineRule="auto"/>
              <w:jc w:val="left"/>
            </w:pPr>
            <w:r>
              <w:rPr>
                <w:color w:val="000000"/>
                <w:sz w:val="20"/>
              </w:rPr>
              <w:t>A1 and C2 are rare. Use class weighting, macro-F1, and per-class support; do not rely on accuracy alone.</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Domain shift</w:t>
            </w:r>
          </w:p>
        </w:tc>
        <w:tc>
          <w:tcPr>
            <w:tcW w:type="dxa" w:w="6804"/>
            <w:vAlign w:val="center"/>
            <w:tcMar>
              <w:top w:w="60" w:type="dxa"/>
              <w:start w:w="110" w:type="dxa"/>
              <w:bottom w:w="60" w:type="dxa"/>
              <w:end w:w="110" w:type="dxa"/>
            </w:tcMar>
          </w:tcPr>
          <w:p>
            <w:pPr>
              <w:spacing w:after="0" w:line="240" w:lineRule="auto"/>
              <w:jc w:val="left"/>
            </w:pPr>
            <w:r>
              <w:rPr>
                <w:color w:val="000000"/>
                <w:sz w:val="20"/>
              </w:rPr>
              <w:t>SCoRE and Wiki-Auto do not fully represent HANU materials or HANU learners. Frame generalization beyond these sources as unverified.</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Topic confounding</w:t>
            </w:r>
          </w:p>
        </w:tc>
        <w:tc>
          <w:tcPr>
            <w:tcW w:type="dxa" w:w="6804"/>
            <w:vAlign w:val="center"/>
            <w:tcMar>
              <w:top w:w="60" w:type="dxa"/>
              <w:start w:w="110" w:type="dxa"/>
              <w:bottom w:w="60" w:type="dxa"/>
              <w:end w:w="110" w:type="dxa"/>
            </w:tcMar>
          </w:tcPr>
          <w:p>
            <w:pPr>
              <w:spacing w:after="0" w:line="240" w:lineRule="auto"/>
              <w:jc w:val="left"/>
            </w:pPr>
            <w:r>
              <w:rPr>
                <w:color w:val="000000"/>
                <w:sz w:val="20"/>
              </w:rPr>
              <w:t>TF-IDF may learn topics or source cues rather than difficulty. Inspect top coefficients and compare performance by source.</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Sentence-to-text limitation</w:t>
            </w:r>
          </w:p>
        </w:tc>
        <w:tc>
          <w:tcPr>
            <w:tcW w:type="dxa" w:w="6804"/>
            <w:vAlign w:val="center"/>
            <w:tcMar>
              <w:top w:w="60" w:type="dxa"/>
              <w:start w:w="110" w:type="dxa"/>
              <w:bottom w:w="60" w:type="dxa"/>
              <w:end w:w="110" w:type="dxa"/>
            </w:tcMar>
          </w:tcPr>
          <w:p>
            <w:pPr>
              <w:spacing w:after="0" w:line="240" w:lineRule="auto"/>
              <w:jc w:val="left"/>
            </w:pPr>
            <w:r>
              <w:rPr>
                <w:color w:val="000000"/>
                <w:sz w:val="20"/>
              </w:rPr>
              <w:t>The model scores sentences independently. Do not infer a single CEFR level for an entire reading text from these predictions.</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Learner variability</w:t>
            </w:r>
          </w:p>
        </w:tc>
        <w:tc>
          <w:tcPr>
            <w:tcW w:type="dxa" w:w="6804"/>
            <w:vAlign w:val="center"/>
            <w:tcMar>
              <w:top w:w="60" w:type="dxa"/>
              <w:start w:w="110" w:type="dxa"/>
              <w:bottom w:w="60" w:type="dxa"/>
              <w:end w:w="110" w:type="dxa"/>
            </w:tcMar>
          </w:tcPr>
          <w:p>
            <w:pPr>
              <w:spacing w:after="0" w:line="240" w:lineRule="auto"/>
              <w:jc w:val="left"/>
            </w:pPr>
            <w:r>
              <w:rPr>
                <w:color w:val="000000"/>
                <w:sz w:val="20"/>
              </w:rPr>
              <w:t>Difficulty also depends on background knowledge, goals, and individual learners. Treat the model output as one signal, not a universal judgment.</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Human control</w:t>
            </w:r>
          </w:p>
        </w:tc>
        <w:tc>
          <w:tcPr>
            <w:tcW w:type="dxa" w:w="6804"/>
            <w:vAlign w:val="center"/>
            <w:tcMar>
              <w:top w:w="60" w:type="dxa"/>
              <w:start w:w="110" w:type="dxa"/>
              <w:bottom w:w="60" w:type="dxa"/>
              <w:end w:w="110" w:type="dxa"/>
            </w:tcMar>
          </w:tcPr>
          <w:p>
            <w:pPr>
              <w:spacing w:after="0" w:line="240" w:lineRule="auto"/>
              <w:jc w:val="left"/>
            </w:pPr>
            <w:r>
              <w:rPr>
                <w:color w:val="000000"/>
                <w:sz w:val="20"/>
              </w:rPr>
              <w:t>Show probabilities and flag uncertain cases. The teacher reviews each suggestion in context and makes the final decision.</w:t>
            </w:r>
          </w:p>
        </w:tc>
      </w:tr>
      <w:tr>
        <w:trPr>
          <w:cantSplit/>
        </w:trPr>
        <w:tc>
          <w:tcPr>
            <w:tcW w:type="dxa" w:w="2154"/>
            <w:vAlign w:val="center"/>
            <w:tcMar>
              <w:top w:w="60" w:type="dxa"/>
              <w:start w:w="110" w:type="dxa"/>
              <w:bottom w:w="60" w:type="dxa"/>
              <w:end w:w="110" w:type="dxa"/>
            </w:tcMar>
          </w:tcPr>
          <w:p>
            <w:pPr>
              <w:spacing w:after="0" w:line="240" w:lineRule="auto"/>
              <w:jc w:val="left"/>
            </w:pPr>
            <w:r>
              <w:rPr>
                <w:color w:val="000000"/>
                <w:sz w:val="20"/>
              </w:rPr>
              <w:t>HANU audit</w:t>
            </w:r>
          </w:p>
        </w:tc>
        <w:tc>
          <w:tcPr>
            <w:tcW w:type="dxa" w:w="6804"/>
            <w:vAlign w:val="center"/>
            <w:tcMar>
              <w:top w:w="60" w:type="dxa"/>
              <w:start w:w="110" w:type="dxa"/>
              <w:bottom w:w="60" w:type="dxa"/>
              <w:end w:w="110" w:type="dxa"/>
            </w:tcMar>
          </w:tcPr>
          <w:p>
            <w:pPr>
              <w:spacing w:after="0" w:line="240" w:lineRule="auto"/>
              <w:jc w:val="left"/>
            </w:pPr>
            <w:r>
              <w:rPr>
                <w:color w:val="000000"/>
                <w:sz w:val="20"/>
              </w:rPr>
              <w:t>Before the final project, conduct a qualitative review of about 30 representative sentences from HANU reading materials. Keep these sentences out of training and use them only to examine practical fit and failure modes.</w:t>
            </w:r>
          </w:p>
        </w:tc>
      </w:tr>
    </w:tbl>
    <w:p>
      <w:pPr>
        <w:spacing w:after="0" w:line="60" w:lineRule="exact"/>
      </w:pPr>
    </w:p>
    <w:p>
      <w:pPr>
        <w:pStyle w:val="Heading1"/>
      </w:pPr>
      <w:r>
        <w:t>References</w:t>
      </w:r>
    </w:p>
    <w:p>
      <w:pPr>
        <w:spacing w:after="80"/>
        <w:ind w:left="283" w:hanging="283"/>
      </w:pPr>
      <w:r>
        <w:t>[1] UniversalCEFR. cefr_sp_en dataset. https://huggingface.co/datasets/UniversalCEFR/cefr_sp_en</w:t>
      </w:r>
    </w:p>
    <w:p>
      <w:pPr>
        <w:spacing w:after="80"/>
        <w:ind w:left="283" w:hanging="283"/>
      </w:pPr>
      <w:r>
        <w:t>[2] CEFR-SP repository and public split files. https://github.com/yukiar/CEFR-SP/tree/main/CEFR-SP</w:t>
      </w:r>
    </w:p>
    <w:p>
      <w:pPr>
        <w:spacing w:after="80"/>
        <w:ind w:left="283" w:hanging="283"/>
      </w:pPr>
      <w:r>
        <w:t>[3] Arase, Y., Uchida, S., and Kajiwara, T. (2022). CEFR-based Sentence Profile: An Open Dataset for Multilingual Sentence-Level Complexity Assessment. EMNLP 2022. https://aclanthology.org/2022.emnlp-main.416/</w:t>
      </w:r>
    </w:p>
    <w:sectPr w:rsidR="00FC693F" w:rsidRPr="0006063C" w:rsidSect="00034616">
      <w:headerReference w:type="default" r:id="rId9"/>
      <w:footerReference w:type="default" r:id="rId10"/>
      <w:pgSz w:w="11911" w:h="16832"/>
      <w:pgMar w:top="1440" w:right="1440" w:bottom="1440" w:left="1440" w:header="283"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eastAsia="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4"/>
    </w:rPr>
  </w:style>
  <w:style w:type="paragraph" w:styleId="ListBullet2">
    <w:name w:val="List Bullet 2"/>
    <w:basedOn w:val="Normal"/>
    <w:uiPriority w:val="99"/>
    <w:unhideWhenUsed/>
    <w:rsid w:val="00326F90"/>
    <w:pPr>
      <w:numPr>
        <w:numId w:val="2"/>
      </w:numPr>
      <w:contextualSpacing/>
    </w:pPr>
    <w:rPr>
      <w:rFonts w:ascii="Calibri" w:hAnsi="Calibri" w:eastAsia="Calibri"/>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CEFR Based Sentence Difficulty Classification for Teacher Support in Reading Material Review</dc:title>
  <dc:subject>Revised six-part MLA 2026 midterm project outline</dc:subject>
  <dc:creator>MLA 2026 project team</dc:creator>
  <cp:keywords>CEFR, sentence classification, teacher support, TF-IDF, Logistic Regression, BiLSTM</cp:keywords>
  <dc:description>generated by python-docx</dc:description>
  <cp:lastModifiedBy/>
  <cp:revision>1</cp:revision>
  <dcterms:created xsi:type="dcterms:W3CDTF">2013-12-23T23:15:00Z</dcterms:created>
  <dcterms:modified xsi:type="dcterms:W3CDTF">2013-12-23T23:15:00Z</dcterms:modified>
  <cp:category/>
</cp:coreProperties>
</file>