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C659" w14:textId="3DE64126" w:rsidR="002A4968" w:rsidRDefault="00BD4C35">
      <w:pPr>
        <w:pStyle w:val="Title"/>
      </w:pPr>
      <w:r>
        <w:t xml:space="preserve">BMI741 </w:t>
      </w:r>
      <w:r w:rsidR="00000000">
        <w:t>Syllabus</w:t>
      </w:r>
      <w:r>
        <w:t xml:space="preserve"> – Spring 2026</w:t>
      </w:r>
    </w:p>
    <w:p w14:paraId="5C890033" w14:textId="77777777" w:rsidR="002A4968" w:rsidRDefault="00000000">
      <w:pPr>
        <w:pStyle w:val="Heading3"/>
      </w:pPr>
      <w:bookmarkStart w:id="0" w:name="overview"/>
      <w:r>
        <w:t>Overview</w:t>
      </w:r>
    </w:p>
    <w:p w14:paraId="0ED98364" w14:textId="77777777" w:rsidR="002A4968" w:rsidRDefault="00000000">
      <w:pPr>
        <w:pStyle w:val="FirstParagraph"/>
      </w:pPr>
      <w:r>
        <w:t xml:space="preserve">This course surveys modern statistical methods for analyzing </w:t>
      </w:r>
      <w:r>
        <w:rPr>
          <w:b/>
          <w:bCs/>
        </w:rPr>
        <w:t>censored</w:t>
      </w:r>
      <w:r>
        <w:t xml:space="preserve"> time-to-event data arising in clinical, epidemiological, sociological, and engineering studies. We emphasize intuitive explanations of statistical theory, such as counting-process martingales, to address real-world problems and develop practical problem-solving skills. The course combines methodological exposition with extensive case studies, primarily drawn from the health sciences. Sample R and SAS code will be provided throughout.</w:t>
      </w:r>
    </w:p>
    <w:p w14:paraId="49924528" w14:textId="77777777" w:rsidR="002A4968" w:rsidRDefault="00000000">
      <w:pPr>
        <w:pStyle w:val="BodyText"/>
      </w:pPr>
      <w:r>
        <w:t xml:space="preserve">The primary focus is on the </w:t>
      </w:r>
      <w:r>
        <w:rPr>
          <w:b/>
          <w:bCs/>
        </w:rPr>
        <w:t>application</w:t>
      </w:r>
      <w:r>
        <w:t xml:space="preserve"> of statistical methods to data analysis and study design, with careful attention to interpretation and assumptions.</w:t>
      </w:r>
    </w:p>
    <w:p w14:paraId="0B73E15B" w14:textId="77777777" w:rsidR="002A4968" w:rsidRDefault="00000000">
      <w:pPr>
        <w:pStyle w:val="Heading3"/>
      </w:pPr>
      <w:bookmarkStart w:id="1" w:name="course-structure"/>
      <w:bookmarkEnd w:id="0"/>
      <w:r>
        <w:t>Course Structure</w:t>
      </w:r>
    </w:p>
    <w:p w14:paraId="77992105" w14:textId="77777777" w:rsidR="002A4968" w:rsidRDefault="00000000">
      <w:pPr>
        <w:pStyle w:val="FirstParagraph"/>
      </w:pPr>
      <w:r>
        <w:t>The course consists of three parts. The first part covers methods for univariate event times, including the Kaplan–Meier estimator, log-rank tests, and the Cox proportional hazards model. The second part extends these ideas to more complex outcomes, such as recurrent events, multivariate events, (semi-)competing risks, joint modeling of survival and longitudinal data, multistate processes, and composite endpoints. The third part introduces selected modern topics, including causal inference and machine learning for censored data.</w:t>
      </w:r>
    </w:p>
    <w:p w14:paraId="4894A92A" w14:textId="77777777" w:rsidR="002A4968" w:rsidRDefault="00000000">
      <w:pPr>
        <w:pStyle w:val="Heading3"/>
      </w:pPr>
      <w:bookmarkStart w:id="2" w:name="learning-outcomes"/>
      <w:bookmarkEnd w:id="1"/>
      <w:r>
        <w:t>Learning Outcomes</w:t>
      </w:r>
    </w:p>
    <w:p w14:paraId="0A2A7CEA" w14:textId="77777777" w:rsidR="002A4968" w:rsidRDefault="00000000">
      <w:pPr>
        <w:pStyle w:val="FirstParagraph"/>
      </w:pPr>
      <w:r>
        <w:t>By the end of the course, students will be able to</w:t>
      </w:r>
    </w:p>
    <w:p w14:paraId="1B06C985" w14:textId="77777777" w:rsidR="002A4968" w:rsidRDefault="00000000">
      <w:pPr>
        <w:pStyle w:val="Compact"/>
        <w:numPr>
          <w:ilvl w:val="0"/>
          <w:numId w:val="2"/>
        </w:numPr>
      </w:pPr>
      <w:r>
        <w:t>Understand the defining features of censored data and their implications for statistical inference</w:t>
      </w:r>
    </w:p>
    <w:p w14:paraId="6E6DA2BE" w14:textId="77777777" w:rsidR="002A4968" w:rsidRDefault="00000000">
      <w:pPr>
        <w:pStyle w:val="Compact"/>
        <w:numPr>
          <w:ilvl w:val="0"/>
          <w:numId w:val="2"/>
        </w:numPr>
      </w:pPr>
      <w:r>
        <w:t>Select appropriate nonparametric and semiparametric methods for different types of time-to-event data</w:t>
      </w:r>
    </w:p>
    <w:p w14:paraId="7F095266" w14:textId="77777777" w:rsidR="002A4968" w:rsidRDefault="00000000">
      <w:pPr>
        <w:pStyle w:val="Compact"/>
        <w:numPr>
          <w:ilvl w:val="0"/>
          <w:numId w:val="2"/>
        </w:numPr>
      </w:pPr>
      <w:r>
        <w:t>Evaluate and assess modeling assumptions for estimation and inference</w:t>
      </w:r>
    </w:p>
    <w:p w14:paraId="23AB0B2B" w14:textId="77777777" w:rsidR="002A4968" w:rsidRDefault="00000000">
      <w:pPr>
        <w:pStyle w:val="Compact"/>
        <w:numPr>
          <w:ilvl w:val="0"/>
          <w:numId w:val="2"/>
        </w:numPr>
      </w:pPr>
      <w:r>
        <w:t>Apply statistical procedures to real-world problems using R (or SAS)</w:t>
      </w:r>
    </w:p>
    <w:p w14:paraId="73D82AB0" w14:textId="77777777" w:rsidR="002A4968" w:rsidRDefault="00000000">
      <w:pPr>
        <w:pStyle w:val="Compact"/>
        <w:numPr>
          <w:ilvl w:val="0"/>
          <w:numId w:val="2"/>
        </w:numPr>
      </w:pPr>
      <w:r>
        <w:t>Clearly interpret and communicate analytical results in response to substantive scientific questions</w:t>
      </w:r>
    </w:p>
    <w:p w14:paraId="46EA9960" w14:textId="77777777" w:rsidR="002A4968" w:rsidRDefault="00000000">
      <w:pPr>
        <w:pStyle w:val="Heading3"/>
      </w:pPr>
      <w:bookmarkStart w:id="3" w:name="prerequisites"/>
      <w:bookmarkEnd w:id="2"/>
      <w:r>
        <w:t>Prerequisites</w:t>
      </w:r>
    </w:p>
    <w:p w14:paraId="310AC008" w14:textId="77777777" w:rsidR="002A4968" w:rsidRDefault="00000000">
      <w:pPr>
        <w:pStyle w:val="FirstParagraph"/>
      </w:pPr>
      <w:r>
        <w:t xml:space="preserve">Students should have foundational knowledge of random variables, expectation, variance, and maximum likelihood estimation, as well as introductory coursework in hypothesis testing (e.g., </w:t>
      </w:r>
      <w:r>
        <w:rPr>
          <w:i/>
          <w:iCs/>
        </w:rPr>
        <w:t>t</w:t>
      </w:r>
      <w:r>
        <w:t>-tests and ANOVA) and (generalized) linear regression models. Prior experience with R or SAS is helpful but not required.</w:t>
      </w:r>
    </w:p>
    <w:p w14:paraId="0475C9AD" w14:textId="77777777" w:rsidR="002A4968" w:rsidRDefault="00000000">
      <w:pPr>
        <w:pStyle w:val="Heading3"/>
      </w:pPr>
      <w:bookmarkStart w:id="4" w:name="time-and-location"/>
      <w:bookmarkEnd w:id="3"/>
      <w:r>
        <w:lastRenderedPageBreak/>
        <w:t>Time and Location</w:t>
      </w:r>
    </w:p>
    <w:p w14:paraId="35C6B25D" w14:textId="77777777" w:rsidR="002A4968" w:rsidRDefault="00000000">
      <w:pPr>
        <w:pStyle w:val="FirstParagraph"/>
      </w:pPr>
      <w:r>
        <w:rPr>
          <w:b/>
          <w:bCs/>
        </w:rPr>
        <w:t>MW 2:35–3:45pm; Health Sciences Learning Center (HSLC) – Room 2158</w:t>
      </w:r>
    </w:p>
    <w:p w14:paraId="22B55C53" w14:textId="77777777" w:rsidR="002A4968" w:rsidRDefault="00000000">
      <w:pPr>
        <w:pStyle w:val="Heading3"/>
      </w:pPr>
      <w:bookmarkStart w:id="5" w:name="instructors"/>
      <w:bookmarkEnd w:id="4"/>
      <w:r>
        <w:t>Instructors</w:t>
      </w:r>
    </w:p>
    <w:p w14:paraId="22A39B05" w14:textId="77777777" w:rsidR="002A4968" w:rsidRDefault="00000000">
      <w:pPr>
        <w:pStyle w:val="Heading4"/>
      </w:pPr>
      <w:bookmarkStart w:id="6" w:name="main-instructor"/>
      <w:r>
        <w:t>Main Instructor</w:t>
      </w:r>
    </w:p>
    <w:p w14:paraId="797ED180" w14:textId="77777777" w:rsidR="002A4968" w:rsidRDefault="00000000">
      <w:pPr>
        <w:pStyle w:val="FirstParagraph"/>
      </w:pPr>
      <w:r>
        <w:rPr>
          <w:b/>
          <w:bCs/>
        </w:rPr>
        <w:t>Lu Mao, PhD</w:t>
      </w:r>
      <w:r>
        <w:br/>
      </w:r>
      <w:hyperlink r:id="rId5">
        <w:r>
          <w:rPr>
            <w:rStyle w:val="Hyperlink"/>
          </w:rPr>
          <w:t>https://lmaowisc.github.io</w:t>
        </w:r>
      </w:hyperlink>
      <w:r>
        <w:br/>
        <w:t>WARF 207A, 610 Walnut St</w:t>
      </w:r>
      <w:r>
        <w:br/>
        <w:t>Madison, WI 53726</w:t>
      </w:r>
      <w:r>
        <w:br/>
        <w:t>Email lmao@biostat.wisc.edu</w:t>
      </w:r>
      <w:r>
        <w:br/>
        <w:t>Phone 608-263-5674</w:t>
      </w:r>
      <w:r>
        <w:br/>
        <w:t>Office hours T&amp;Th 3–4pm, or by appointment</w:t>
      </w:r>
      <w:r>
        <w:br/>
        <w:t>Zoom link provided on Canvas</w:t>
      </w:r>
    </w:p>
    <w:p w14:paraId="11380EAB" w14:textId="77777777" w:rsidR="002A4968" w:rsidRDefault="00000000">
      <w:pPr>
        <w:pStyle w:val="Heading4"/>
      </w:pPr>
      <w:bookmarkStart w:id="7" w:name="teaching-assistant"/>
      <w:bookmarkEnd w:id="6"/>
      <w:r>
        <w:t>Teaching Assistant</w:t>
      </w:r>
    </w:p>
    <w:p w14:paraId="2E9770A4" w14:textId="77777777" w:rsidR="002A4968" w:rsidRDefault="00000000">
      <w:pPr>
        <w:pStyle w:val="FirstParagraph"/>
      </w:pPr>
      <w:r>
        <w:rPr>
          <w:b/>
          <w:bCs/>
        </w:rPr>
        <w:t>Heeyeong Jung</w:t>
      </w:r>
      <w:r>
        <w:br/>
        <w:t>Email hjung96@wisc.edu</w:t>
      </w:r>
      <w:r>
        <w:br/>
        <w:t>Office hours TBD, or by appointment</w:t>
      </w:r>
      <w:r>
        <w:br/>
        <w:t>Zoom link provided on Canvas</w:t>
      </w:r>
    </w:p>
    <w:p w14:paraId="02C9181A" w14:textId="77777777" w:rsidR="002A4968" w:rsidRDefault="00000000">
      <w:pPr>
        <w:pStyle w:val="Heading3"/>
      </w:pPr>
      <w:bookmarkStart w:id="8" w:name="readings"/>
      <w:bookmarkEnd w:id="5"/>
      <w:bookmarkEnd w:id="7"/>
      <w:r>
        <w:t>Readings</w:t>
      </w:r>
    </w:p>
    <w:p w14:paraId="77AE4CB9" w14:textId="77777777" w:rsidR="002A4968" w:rsidRDefault="00000000">
      <w:pPr>
        <w:numPr>
          <w:ilvl w:val="0"/>
          <w:numId w:val="3"/>
        </w:numPr>
      </w:pPr>
      <w:r>
        <w:rPr>
          <w:b/>
          <w:bCs/>
        </w:rPr>
        <w:t>Required</w:t>
      </w:r>
      <w:r>
        <w:br/>
      </w:r>
      <w:r>
        <w:rPr>
          <w:i/>
          <w:iCs/>
        </w:rPr>
        <w:t>Applied Survival Analysis: From Univariate to Complex Time-to-Event Outcomes</w:t>
      </w:r>
      <w:r>
        <w:t xml:space="preserve"> (posted on Canvas by chapter)</w:t>
      </w:r>
    </w:p>
    <w:p w14:paraId="74C246A6" w14:textId="77777777" w:rsidR="002A4968" w:rsidRDefault="00000000">
      <w:pPr>
        <w:numPr>
          <w:ilvl w:val="0"/>
          <w:numId w:val="3"/>
        </w:numPr>
      </w:pPr>
      <w:r>
        <w:rPr>
          <w:i/>
          <w:iCs/>
        </w:rPr>
        <w:t>Methodological focus</w:t>
      </w:r>
      <w:r>
        <w:br/>
        <w:t xml:space="preserve">Kalbfleisch JD, Prentice RL (2002). </w:t>
      </w:r>
      <w:r>
        <w:rPr>
          <w:i/>
          <w:iCs/>
        </w:rPr>
        <w:t>The Statistical Analysis of Failure Time Data</w:t>
      </w:r>
      <w:r>
        <w:t>, 2nd ed. John Wiley &amp; Sons</w:t>
      </w:r>
    </w:p>
    <w:p w14:paraId="5C1D3F5F" w14:textId="77777777" w:rsidR="002A4968" w:rsidRDefault="00000000">
      <w:pPr>
        <w:numPr>
          <w:ilvl w:val="0"/>
          <w:numId w:val="3"/>
        </w:numPr>
      </w:pPr>
      <w:r>
        <w:rPr>
          <w:i/>
          <w:iCs/>
        </w:rPr>
        <w:t>Applied focus</w:t>
      </w:r>
      <w:r>
        <w:br/>
        <w:t xml:space="preserve">Klein JP, Moeschberger ML (2003). </w:t>
      </w:r>
      <w:r>
        <w:rPr>
          <w:i/>
          <w:iCs/>
        </w:rPr>
        <w:t>Survival Analysis: Techniques for Censored and Truncated Data</w:t>
      </w:r>
      <w:r>
        <w:t>, 2nd ed. Springer</w:t>
      </w:r>
    </w:p>
    <w:p w14:paraId="6914FD18" w14:textId="77777777" w:rsidR="002A4968" w:rsidRDefault="00000000">
      <w:pPr>
        <w:numPr>
          <w:ilvl w:val="0"/>
          <w:numId w:val="3"/>
        </w:numPr>
      </w:pPr>
      <w:r>
        <w:rPr>
          <w:i/>
          <w:iCs/>
        </w:rPr>
        <w:t>Theoretical depth</w:t>
      </w:r>
      <w:r>
        <w:t xml:space="preserve"> Fleming TR, Harrington DP (1991). </w:t>
      </w:r>
      <w:r>
        <w:rPr>
          <w:i/>
          <w:iCs/>
        </w:rPr>
        <w:t>Counting Processes and Survival Analysis</w:t>
      </w:r>
      <w:r>
        <w:t>. John Wiley &amp; Sons</w:t>
      </w:r>
    </w:p>
    <w:p w14:paraId="653E7CE6" w14:textId="77777777" w:rsidR="002A4968" w:rsidRDefault="00000000">
      <w:pPr>
        <w:pStyle w:val="Heading3"/>
      </w:pPr>
      <w:bookmarkStart w:id="9" w:name="course-schedule"/>
      <w:bookmarkEnd w:id="8"/>
      <w:r>
        <w:t>Course Schedule</w:t>
      </w:r>
    </w:p>
    <w:p w14:paraId="294A7513" w14:textId="77777777" w:rsidR="002A4968" w:rsidRDefault="00000000">
      <w:pPr>
        <w:pStyle w:val="Heading4"/>
      </w:pPr>
      <w:bookmarkStart w:id="10" w:name="kickoff"/>
      <w:r>
        <w:t>Kickoff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3"/>
        <w:gridCol w:w="1056"/>
        <w:gridCol w:w="1173"/>
      </w:tblGrid>
      <w:tr w:rsidR="002A4968" w14:paraId="474809C2" w14:textId="77777777" w:rsidTr="002A4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A147F" w14:textId="77777777" w:rsidR="002A496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E71279F" w14:textId="77777777" w:rsidR="002A4968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0609F6A7" w14:textId="77777777" w:rsidR="002A4968" w:rsidRDefault="00000000">
            <w:pPr>
              <w:pStyle w:val="Compact"/>
            </w:pPr>
            <w:r>
              <w:t>Notes</w:t>
            </w:r>
          </w:p>
        </w:tc>
      </w:tr>
      <w:tr w:rsidR="002A4968" w14:paraId="6A65610E" w14:textId="77777777">
        <w:tc>
          <w:tcPr>
            <w:tcW w:w="0" w:type="auto"/>
          </w:tcPr>
          <w:p w14:paraId="31AB2DF2" w14:textId="77777777" w:rsidR="002A4968" w:rsidRDefault="00000000">
            <w:pPr>
              <w:pStyle w:val="Compact"/>
            </w:pPr>
            <w:r>
              <w:t>1/21</w:t>
            </w:r>
          </w:p>
        </w:tc>
        <w:tc>
          <w:tcPr>
            <w:tcW w:w="0" w:type="auto"/>
          </w:tcPr>
          <w:p w14:paraId="0F0E67EC" w14:textId="77777777" w:rsidR="002A4968" w:rsidRDefault="00000000">
            <w:pPr>
              <w:pStyle w:val="Compact"/>
            </w:pPr>
            <w:r>
              <w:t>Lecture</w:t>
            </w:r>
          </w:p>
        </w:tc>
        <w:tc>
          <w:tcPr>
            <w:tcW w:w="0" w:type="auto"/>
          </w:tcPr>
          <w:p w14:paraId="36B57564" w14:textId="77777777" w:rsidR="002A4968" w:rsidRDefault="00000000">
            <w:pPr>
              <w:pStyle w:val="Compact"/>
            </w:pPr>
            <w:r>
              <w:t>Overview</w:t>
            </w:r>
          </w:p>
        </w:tc>
      </w:tr>
      <w:tr w:rsidR="002A4968" w14:paraId="30F1D283" w14:textId="77777777">
        <w:tc>
          <w:tcPr>
            <w:tcW w:w="0" w:type="auto"/>
          </w:tcPr>
          <w:p w14:paraId="4E494D39" w14:textId="77777777" w:rsidR="002A4968" w:rsidRDefault="002A4968">
            <w:pPr>
              <w:pStyle w:val="Compact"/>
            </w:pPr>
          </w:p>
        </w:tc>
        <w:tc>
          <w:tcPr>
            <w:tcW w:w="0" w:type="auto"/>
          </w:tcPr>
          <w:p w14:paraId="6D245633" w14:textId="77777777" w:rsidR="002A4968" w:rsidRDefault="00000000">
            <w:pPr>
              <w:pStyle w:val="Compact"/>
            </w:pPr>
            <w:r>
              <w:t>Reading</w:t>
            </w:r>
          </w:p>
        </w:tc>
        <w:tc>
          <w:tcPr>
            <w:tcW w:w="0" w:type="auto"/>
          </w:tcPr>
          <w:p w14:paraId="260BE235" w14:textId="77777777" w:rsidR="002A4968" w:rsidRDefault="00000000">
            <w:pPr>
              <w:pStyle w:val="Compact"/>
            </w:pPr>
            <w:r>
              <w:t>Syllabus</w:t>
            </w:r>
          </w:p>
        </w:tc>
      </w:tr>
    </w:tbl>
    <w:p w14:paraId="4825BB77" w14:textId="77777777" w:rsidR="002A4968" w:rsidRDefault="00000000">
      <w:pPr>
        <w:pStyle w:val="Heading4"/>
      </w:pPr>
      <w:bookmarkStart w:id="11" w:name="part-i-univariate-events"/>
      <w:bookmarkEnd w:id="10"/>
      <w:r>
        <w:lastRenderedPageBreak/>
        <w:t>Part I: Univariate Events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6384"/>
        <w:gridCol w:w="1596"/>
      </w:tblGrid>
      <w:tr w:rsidR="002A4968" w14:paraId="7CC9DB6C" w14:textId="77777777" w:rsidTr="002A4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A958FD5" w14:textId="77777777" w:rsidR="002A4968" w:rsidRDefault="00000000">
            <w:pPr>
              <w:pStyle w:val="Compact"/>
            </w:pPr>
            <w:r>
              <w:t>Date</w:t>
            </w:r>
          </w:p>
        </w:tc>
        <w:tc>
          <w:tcPr>
            <w:tcW w:w="5280" w:type="dxa"/>
          </w:tcPr>
          <w:p w14:paraId="06BBC2C9" w14:textId="77777777" w:rsidR="002A4968" w:rsidRDefault="00000000">
            <w:pPr>
              <w:pStyle w:val="Compact"/>
            </w:pPr>
            <w:r>
              <w:t>Topic</w:t>
            </w:r>
          </w:p>
        </w:tc>
        <w:tc>
          <w:tcPr>
            <w:tcW w:w="1320" w:type="dxa"/>
          </w:tcPr>
          <w:p w14:paraId="6C2C5BC7" w14:textId="77777777" w:rsidR="002A4968" w:rsidRDefault="00000000">
            <w:pPr>
              <w:pStyle w:val="Compact"/>
            </w:pPr>
            <w:r>
              <w:t>Notes</w:t>
            </w:r>
          </w:p>
        </w:tc>
      </w:tr>
      <w:tr w:rsidR="002A4968" w14:paraId="6E3A65C9" w14:textId="77777777">
        <w:tc>
          <w:tcPr>
            <w:tcW w:w="1320" w:type="dxa"/>
          </w:tcPr>
          <w:p w14:paraId="66F3C16F" w14:textId="77777777" w:rsidR="002A4968" w:rsidRDefault="00000000">
            <w:pPr>
              <w:pStyle w:val="Compact"/>
            </w:pPr>
            <w:r>
              <w:t>1/26</w:t>
            </w:r>
          </w:p>
        </w:tc>
        <w:tc>
          <w:tcPr>
            <w:tcW w:w="5280" w:type="dxa"/>
          </w:tcPr>
          <w:p w14:paraId="30509B43" w14:textId="77777777" w:rsidR="002A4968" w:rsidRDefault="00000000">
            <w:pPr>
              <w:pStyle w:val="Compact"/>
            </w:pPr>
            <w:r>
              <w:t>Introduction</w:t>
            </w:r>
          </w:p>
        </w:tc>
        <w:tc>
          <w:tcPr>
            <w:tcW w:w="1320" w:type="dxa"/>
          </w:tcPr>
          <w:p w14:paraId="1F612E50" w14:textId="77777777" w:rsidR="002A4968" w:rsidRDefault="00000000">
            <w:pPr>
              <w:pStyle w:val="Compact"/>
            </w:pPr>
            <w:r>
              <w:t>Chapter 1</w:t>
            </w:r>
          </w:p>
        </w:tc>
      </w:tr>
      <w:tr w:rsidR="002A4968" w14:paraId="613B21AC" w14:textId="77777777">
        <w:tc>
          <w:tcPr>
            <w:tcW w:w="1320" w:type="dxa"/>
          </w:tcPr>
          <w:p w14:paraId="515FCF19" w14:textId="77777777" w:rsidR="002A4968" w:rsidRDefault="00000000">
            <w:pPr>
              <w:pStyle w:val="Compact"/>
            </w:pPr>
            <w:r>
              <w:t>1/28</w:t>
            </w:r>
          </w:p>
        </w:tc>
        <w:tc>
          <w:tcPr>
            <w:tcW w:w="5280" w:type="dxa"/>
          </w:tcPr>
          <w:p w14:paraId="6398CE51" w14:textId="77777777" w:rsidR="002A4968" w:rsidRDefault="00000000">
            <w:pPr>
              <w:pStyle w:val="Compact"/>
            </w:pPr>
            <w:r>
              <w:t>Mathematical Foundations</w:t>
            </w:r>
          </w:p>
        </w:tc>
        <w:tc>
          <w:tcPr>
            <w:tcW w:w="1320" w:type="dxa"/>
          </w:tcPr>
          <w:p w14:paraId="782FEA44" w14:textId="77777777" w:rsidR="002A4968" w:rsidRDefault="00000000">
            <w:pPr>
              <w:pStyle w:val="Compact"/>
            </w:pPr>
            <w:r>
              <w:t>Chapter 2</w:t>
            </w:r>
          </w:p>
        </w:tc>
      </w:tr>
      <w:tr w:rsidR="002A4968" w14:paraId="72EF076F" w14:textId="77777777">
        <w:tc>
          <w:tcPr>
            <w:tcW w:w="1320" w:type="dxa"/>
          </w:tcPr>
          <w:p w14:paraId="34879DC6" w14:textId="77777777" w:rsidR="002A4968" w:rsidRDefault="00000000">
            <w:pPr>
              <w:pStyle w:val="Compact"/>
            </w:pPr>
            <w:r>
              <w:t>2/2</w:t>
            </w:r>
          </w:p>
        </w:tc>
        <w:tc>
          <w:tcPr>
            <w:tcW w:w="5280" w:type="dxa"/>
          </w:tcPr>
          <w:p w14:paraId="51BC8A0C" w14:textId="77777777" w:rsidR="002A4968" w:rsidRDefault="00000000">
            <w:pPr>
              <w:pStyle w:val="Compact"/>
            </w:pPr>
            <w:r>
              <w:t>Nonparametric Estimation of the Survival Curve</w:t>
            </w:r>
          </w:p>
        </w:tc>
        <w:tc>
          <w:tcPr>
            <w:tcW w:w="1320" w:type="dxa"/>
          </w:tcPr>
          <w:p w14:paraId="4908D563" w14:textId="77777777" w:rsidR="002A4968" w:rsidRDefault="00000000">
            <w:pPr>
              <w:pStyle w:val="Compact"/>
            </w:pPr>
            <w:r>
              <w:t>Chapter 3</w:t>
            </w:r>
          </w:p>
        </w:tc>
      </w:tr>
      <w:tr w:rsidR="002A4968" w14:paraId="27C129A5" w14:textId="77777777">
        <w:tc>
          <w:tcPr>
            <w:tcW w:w="1320" w:type="dxa"/>
          </w:tcPr>
          <w:p w14:paraId="56FD30AC" w14:textId="77777777" w:rsidR="002A4968" w:rsidRDefault="00000000">
            <w:pPr>
              <w:pStyle w:val="Compact"/>
            </w:pPr>
            <w:r>
              <w:t>2/4</w:t>
            </w:r>
          </w:p>
        </w:tc>
        <w:tc>
          <w:tcPr>
            <w:tcW w:w="5280" w:type="dxa"/>
          </w:tcPr>
          <w:p w14:paraId="4A41205C" w14:textId="77777777" w:rsidR="002A4968" w:rsidRDefault="00000000">
            <w:pPr>
              <w:pStyle w:val="Compact"/>
            </w:pPr>
            <w:r>
              <w:t>Comparing Survival Rates Between Groups</w:t>
            </w:r>
          </w:p>
        </w:tc>
        <w:tc>
          <w:tcPr>
            <w:tcW w:w="1320" w:type="dxa"/>
          </w:tcPr>
          <w:p w14:paraId="3F833626" w14:textId="77777777" w:rsidR="002A4968" w:rsidRDefault="00000000">
            <w:pPr>
              <w:pStyle w:val="Compact"/>
            </w:pPr>
            <w:r>
              <w:t>Chapter 3</w:t>
            </w:r>
          </w:p>
        </w:tc>
      </w:tr>
      <w:tr w:rsidR="002A4968" w14:paraId="4BE8B168" w14:textId="77777777">
        <w:tc>
          <w:tcPr>
            <w:tcW w:w="1320" w:type="dxa"/>
          </w:tcPr>
          <w:p w14:paraId="3867709D" w14:textId="77777777" w:rsidR="002A4968" w:rsidRDefault="00000000">
            <w:pPr>
              <w:pStyle w:val="Compact"/>
            </w:pPr>
            <w:r>
              <w:t>2/9</w:t>
            </w:r>
          </w:p>
        </w:tc>
        <w:tc>
          <w:tcPr>
            <w:tcW w:w="5280" w:type="dxa"/>
          </w:tcPr>
          <w:p w14:paraId="7358106C" w14:textId="77777777" w:rsidR="002A4968" w:rsidRDefault="00000000">
            <w:pPr>
              <w:pStyle w:val="Compact"/>
            </w:pPr>
            <w:r>
              <w:t>Cox Proportional Hazards Model – Assumptions and Inference</w:t>
            </w:r>
          </w:p>
        </w:tc>
        <w:tc>
          <w:tcPr>
            <w:tcW w:w="1320" w:type="dxa"/>
          </w:tcPr>
          <w:p w14:paraId="147AF3D3" w14:textId="77777777" w:rsidR="002A4968" w:rsidRDefault="00000000">
            <w:pPr>
              <w:pStyle w:val="Compact"/>
            </w:pPr>
            <w:r>
              <w:t>Chapter 4</w:t>
            </w:r>
          </w:p>
        </w:tc>
      </w:tr>
      <w:tr w:rsidR="002A4968" w14:paraId="5F062D31" w14:textId="77777777">
        <w:tc>
          <w:tcPr>
            <w:tcW w:w="1320" w:type="dxa"/>
          </w:tcPr>
          <w:p w14:paraId="38EAAEC2" w14:textId="77777777" w:rsidR="002A4968" w:rsidRDefault="00000000">
            <w:pPr>
              <w:pStyle w:val="Compact"/>
            </w:pPr>
            <w:r>
              <w:t>2/11</w:t>
            </w:r>
          </w:p>
        </w:tc>
        <w:tc>
          <w:tcPr>
            <w:tcW w:w="5280" w:type="dxa"/>
          </w:tcPr>
          <w:p w14:paraId="1E3F295C" w14:textId="77777777" w:rsidR="002A4968" w:rsidRDefault="00000000">
            <w:pPr>
              <w:pStyle w:val="Compact"/>
            </w:pPr>
            <w:r>
              <w:t>Cox Proportional Hazards Model – Residual Analysis</w:t>
            </w:r>
          </w:p>
        </w:tc>
        <w:tc>
          <w:tcPr>
            <w:tcW w:w="1320" w:type="dxa"/>
          </w:tcPr>
          <w:p w14:paraId="782282F0" w14:textId="77777777" w:rsidR="002A4968" w:rsidRDefault="00000000">
            <w:pPr>
              <w:pStyle w:val="Compact"/>
            </w:pPr>
            <w:r>
              <w:t>Chapter 4</w:t>
            </w:r>
          </w:p>
        </w:tc>
      </w:tr>
      <w:tr w:rsidR="002A4968" w14:paraId="00DF10E2" w14:textId="77777777">
        <w:tc>
          <w:tcPr>
            <w:tcW w:w="1320" w:type="dxa"/>
          </w:tcPr>
          <w:p w14:paraId="0B00A252" w14:textId="77777777" w:rsidR="002A4968" w:rsidRDefault="00000000">
            <w:pPr>
              <w:pStyle w:val="Compact"/>
            </w:pPr>
            <w:r>
              <w:t>2/16</w:t>
            </w:r>
          </w:p>
        </w:tc>
        <w:tc>
          <w:tcPr>
            <w:tcW w:w="5280" w:type="dxa"/>
          </w:tcPr>
          <w:p w14:paraId="325FDE62" w14:textId="77777777" w:rsidR="002A4968" w:rsidRDefault="00000000">
            <w:pPr>
              <w:pStyle w:val="Compact"/>
            </w:pPr>
            <w:r>
              <w:t>Cox Proportional Hazards Model – Time-Varying Covariates</w:t>
            </w:r>
          </w:p>
        </w:tc>
        <w:tc>
          <w:tcPr>
            <w:tcW w:w="1320" w:type="dxa"/>
          </w:tcPr>
          <w:p w14:paraId="22E33117" w14:textId="77777777" w:rsidR="002A4968" w:rsidRDefault="00000000">
            <w:pPr>
              <w:pStyle w:val="Compact"/>
            </w:pPr>
            <w:r>
              <w:t>Chapter 4</w:t>
            </w:r>
          </w:p>
        </w:tc>
      </w:tr>
      <w:tr w:rsidR="002A4968" w14:paraId="2AD6D8B6" w14:textId="77777777">
        <w:tc>
          <w:tcPr>
            <w:tcW w:w="1320" w:type="dxa"/>
          </w:tcPr>
          <w:p w14:paraId="08975332" w14:textId="77777777" w:rsidR="002A4968" w:rsidRDefault="00000000">
            <w:pPr>
              <w:pStyle w:val="Compact"/>
            </w:pPr>
            <w:r>
              <w:t>2/18</w:t>
            </w:r>
          </w:p>
        </w:tc>
        <w:tc>
          <w:tcPr>
            <w:tcW w:w="5280" w:type="dxa"/>
          </w:tcPr>
          <w:p w14:paraId="305F5545" w14:textId="77777777" w:rsidR="002A4968" w:rsidRDefault="00000000">
            <w:pPr>
              <w:pStyle w:val="Compact"/>
            </w:pPr>
            <w:r>
              <w:t>Other Non- and Semi-parametric Methods</w:t>
            </w:r>
          </w:p>
        </w:tc>
        <w:tc>
          <w:tcPr>
            <w:tcW w:w="1320" w:type="dxa"/>
          </w:tcPr>
          <w:p w14:paraId="54570E92" w14:textId="77777777" w:rsidR="002A4968" w:rsidRDefault="00000000">
            <w:pPr>
              <w:pStyle w:val="Compact"/>
            </w:pPr>
            <w:r>
              <w:t>Chapter 5</w:t>
            </w:r>
          </w:p>
        </w:tc>
      </w:tr>
      <w:tr w:rsidR="002A4968" w14:paraId="1F611F5A" w14:textId="77777777">
        <w:tc>
          <w:tcPr>
            <w:tcW w:w="1320" w:type="dxa"/>
          </w:tcPr>
          <w:p w14:paraId="0F447BDD" w14:textId="77777777" w:rsidR="002A4968" w:rsidRDefault="00000000">
            <w:pPr>
              <w:pStyle w:val="Compact"/>
            </w:pPr>
            <w:r>
              <w:t>2/23</w:t>
            </w:r>
          </w:p>
        </w:tc>
        <w:tc>
          <w:tcPr>
            <w:tcW w:w="5280" w:type="dxa"/>
          </w:tcPr>
          <w:p w14:paraId="5150742C" w14:textId="77777777" w:rsidR="002A4968" w:rsidRDefault="00000000">
            <w:pPr>
              <w:pStyle w:val="Compact"/>
            </w:pPr>
            <w:r>
              <w:t>Study Design and Sample Size Calculation</w:t>
            </w:r>
          </w:p>
        </w:tc>
        <w:tc>
          <w:tcPr>
            <w:tcW w:w="1320" w:type="dxa"/>
          </w:tcPr>
          <w:p w14:paraId="1685A03E" w14:textId="77777777" w:rsidR="002A4968" w:rsidRDefault="00000000">
            <w:pPr>
              <w:pStyle w:val="Compact"/>
            </w:pPr>
            <w:r>
              <w:t>Chapter 6</w:t>
            </w:r>
          </w:p>
        </w:tc>
      </w:tr>
      <w:tr w:rsidR="002A4968" w14:paraId="0901D137" w14:textId="77777777">
        <w:tc>
          <w:tcPr>
            <w:tcW w:w="1320" w:type="dxa"/>
          </w:tcPr>
          <w:p w14:paraId="6BFC7557" w14:textId="77777777" w:rsidR="002A4968" w:rsidRDefault="00000000">
            <w:pPr>
              <w:pStyle w:val="Compact"/>
            </w:pPr>
            <w:r>
              <w:t>2/25</w:t>
            </w:r>
          </w:p>
        </w:tc>
        <w:tc>
          <w:tcPr>
            <w:tcW w:w="5280" w:type="dxa"/>
          </w:tcPr>
          <w:p w14:paraId="4F2E8CE8" w14:textId="77777777" w:rsidR="002A4968" w:rsidRDefault="00000000">
            <w:pPr>
              <w:pStyle w:val="Compact"/>
            </w:pPr>
            <w:r>
              <w:t>Left Truncation</w:t>
            </w:r>
          </w:p>
        </w:tc>
        <w:tc>
          <w:tcPr>
            <w:tcW w:w="1320" w:type="dxa"/>
          </w:tcPr>
          <w:p w14:paraId="47E07553" w14:textId="77777777" w:rsidR="002A4968" w:rsidRDefault="00000000">
            <w:pPr>
              <w:pStyle w:val="Compact"/>
            </w:pPr>
            <w:r>
              <w:t>Chapter 7</w:t>
            </w:r>
          </w:p>
        </w:tc>
      </w:tr>
      <w:tr w:rsidR="002A4968" w14:paraId="085D0DB2" w14:textId="77777777">
        <w:tc>
          <w:tcPr>
            <w:tcW w:w="1320" w:type="dxa"/>
          </w:tcPr>
          <w:p w14:paraId="25C3D937" w14:textId="77777777" w:rsidR="002A4968" w:rsidRDefault="00000000">
            <w:pPr>
              <w:pStyle w:val="Compact"/>
            </w:pPr>
            <w:r>
              <w:t>3/2</w:t>
            </w:r>
          </w:p>
        </w:tc>
        <w:tc>
          <w:tcPr>
            <w:tcW w:w="5280" w:type="dxa"/>
          </w:tcPr>
          <w:p w14:paraId="6570C93A" w14:textId="77777777" w:rsidR="002A4968" w:rsidRDefault="00000000">
            <w:pPr>
              <w:pStyle w:val="Compact"/>
            </w:pPr>
            <w:r>
              <w:t>Interval Censoring</w:t>
            </w:r>
          </w:p>
        </w:tc>
        <w:tc>
          <w:tcPr>
            <w:tcW w:w="1320" w:type="dxa"/>
          </w:tcPr>
          <w:p w14:paraId="32E4A364" w14:textId="77777777" w:rsidR="002A4968" w:rsidRDefault="00000000">
            <w:pPr>
              <w:pStyle w:val="Compact"/>
            </w:pPr>
            <w:r>
              <w:t>Chapter 7</w:t>
            </w:r>
          </w:p>
        </w:tc>
      </w:tr>
    </w:tbl>
    <w:p w14:paraId="74E31B62" w14:textId="77777777" w:rsidR="002A4968" w:rsidRDefault="00000000">
      <w:pPr>
        <w:pStyle w:val="Heading4"/>
      </w:pPr>
      <w:bookmarkStart w:id="12" w:name="part-ii-complex-outcomes"/>
      <w:bookmarkEnd w:id="11"/>
      <w:r>
        <w:t>Part II: Complex Outcomes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6384"/>
        <w:gridCol w:w="1596"/>
      </w:tblGrid>
      <w:tr w:rsidR="002A4968" w14:paraId="4A328E28" w14:textId="77777777" w:rsidTr="002A4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79E87DF" w14:textId="77777777" w:rsidR="002A4968" w:rsidRDefault="00000000">
            <w:pPr>
              <w:pStyle w:val="Compact"/>
            </w:pPr>
            <w:r>
              <w:t>Date</w:t>
            </w:r>
          </w:p>
        </w:tc>
        <w:tc>
          <w:tcPr>
            <w:tcW w:w="5280" w:type="dxa"/>
          </w:tcPr>
          <w:p w14:paraId="27CF46DC" w14:textId="77777777" w:rsidR="002A4968" w:rsidRDefault="00000000">
            <w:pPr>
              <w:pStyle w:val="Compact"/>
            </w:pPr>
            <w:r>
              <w:t>Topic</w:t>
            </w:r>
          </w:p>
        </w:tc>
        <w:tc>
          <w:tcPr>
            <w:tcW w:w="1320" w:type="dxa"/>
          </w:tcPr>
          <w:p w14:paraId="55DE3F63" w14:textId="77777777" w:rsidR="002A4968" w:rsidRDefault="00000000">
            <w:pPr>
              <w:pStyle w:val="Compact"/>
            </w:pPr>
            <w:r>
              <w:t>Notes</w:t>
            </w:r>
          </w:p>
        </w:tc>
      </w:tr>
      <w:tr w:rsidR="002A4968" w14:paraId="027AE201" w14:textId="77777777">
        <w:tc>
          <w:tcPr>
            <w:tcW w:w="1320" w:type="dxa"/>
          </w:tcPr>
          <w:p w14:paraId="10848287" w14:textId="77777777" w:rsidR="002A4968" w:rsidRDefault="00000000">
            <w:pPr>
              <w:pStyle w:val="Compact"/>
            </w:pPr>
            <w:r>
              <w:t>3/4</w:t>
            </w:r>
          </w:p>
        </w:tc>
        <w:tc>
          <w:tcPr>
            <w:tcW w:w="5280" w:type="dxa"/>
          </w:tcPr>
          <w:p w14:paraId="46904165" w14:textId="77777777" w:rsidR="002A4968" w:rsidRDefault="00000000">
            <w:pPr>
              <w:pStyle w:val="Compact"/>
            </w:pPr>
            <w:r>
              <w:t>Multivariate Events – Conditional (Frailty) Models</w:t>
            </w:r>
          </w:p>
        </w:tc>
        <w:tc>
          <w:tcPr>
            <w:tcW w:w="1320" w:type="dxa"/>
          </w:tcPr>
          <w:p w14:paraId="27299D0E" w14:textId="77777777" w:rsidR="002A4968" w:rsidRDefault="00000000">
            <w:pPr>
              <w:pStyle w:val="Compact"/>
            </w:pPr>
            <w:r>
              <w:t>Chapter 8</w:t>
            </w:r>
          </w:p>
        </w:tc>
      </w:tr>
      <w:tr w:rsidR="002A4968" w14:paraId="5C47B8CF" w14:textId="77777777">
        <w:tc>
          <w:tcPr>
            <w:tcW w:w="1320" w:type="dxa"/>
          </w:tcPr>
          <w:p w14:paraId="3F3CF184" w14:textId="77777777" w:rsidR="002A4968" w:rsidRDefault="00000000">
            <w:pPr>
              <w:pStyle w:val="Compact"/>
            </w:pPr>
            <w:r>
              <w:t>3/9</w:t>
            </w:r>
          </w:p>
        </w:tc>
        <w:tc>
          <w:tcPr>
            <w:tcW w:w="5280" w:type="dxa"/>
          </w:tcPr>
          <w:p w14:paraId="200A34CB" w14:textId="77777777" w:rsidR="002A4968" w:rsidRDefault="00000000">
            <w:pPr>
              <w:pStyle w:val="Compact"/>
            </w:pPr>
            <w:r>
              <w:t>Multivariate Event Times – Marginal Models</w:t>
            </w:r>
          </w:p>
        </w:tc>
        <w:tc>
          <w:tcPr>
            <w:tcW w:w="1320" w:type="dxa"/>
          </w:tcPr>
          <w:p w14:paraId="42980013" w14:textId="77777777" w:rsidR="002A4968" w:rsidRDefault="00000000">
            <w:pPr>
              <w:pStyle w:val="Compact"/>
            </w:pPr>
            <w:r>
              <w:t>Chapter 8</w:t>
            </w:r>
          </w:p>
        </w:tc>
      </w:tr>
      <w:tr w:rsidR="002A4968" w14:paraId="6F6BD2B3" w14:textId="77777777">
        <w:tc>
          <w:tcPr>
            <w:tcW w:w="1320" w:type="dxa"/>
          </w:tcPr>
          <w:p w14:paraId="4689CA38" w14:textId="77777777" w:rsidR="002A4968" w:rsidRDefault="00000000">
            <w:pPr>
              <w:pStyle w:val="Compact"/>
            </w:pPr>
            <w:r>
              <w:t>3/11</w:t>
            </w:r>
          </w:p>
        </w:tc>
        <w:tc>
          <w:tcPr>
            <w:tcW w:w="5280" w:type="dxa"/>
          </w:tcPr>
          <w:p w14:paraId="2F1FAB33" w14:textId="77777777" w:rsidR="002A4968" w:rsidRDefault="00000000">
            <w:pPr>
              <w:pStyle w:val="Compact"/>
            </w:pPr>
            <w:r>
              <w:t>Recurrent Events</w:t>
            </w:r>
          </w:p>
        </w:tc>
        <w:tc>
          <w:tcPr>
            <w:tcW w:w="1320" w:type="dxa"/>
          </w:tcPr>
          <w:p w14:paraId="6CF789BC" w14:textId="77777777" w:rsidR="002A4968" w:rsidRDefault="00000000">
            <w:pPr>
              <w:pStyle w:val="Compact"/>
            </w:pPr>
            <w:r>
              <w:t>Chapter 9</w:t>
            </w:r>
          </w:p>
        </w:tc>
      </w:tr>
      <w:tr w:rsidR="002A4968" w14:paraId="3FAB9D6E" w14:textId="77777777">
        <w:tc>
          <w:tcPr>
            <w:tcW w:w="1320" w:type="dxa"/>
          </w:tcPr>
          <w:p w14:paraId="167F2254" w14:textId="77777777" w:rsidR="002A4968" w:rsidRDefault="00000000">
            <w:pPr>
              <w:pStyle w:val="Compact"/>
            </w:pPr>
            <w:r>
              <w:t>3/16</w:t>
            </w:r>
          </w:p>
        </w:tc>
        <w:tc>
          <w:tcPr>
            <w:tcW w:w="5280" w:type="dxa"/>
          </w:tcPr>
          <w:p w14:paraId="2654A963" w14:textId="77777777" w:rsidR="002A4968" w:rsidRDefault="00000000">
            <w:pPr>
              <w:pStyle w:val="Compact"/>
            </w:pPr>
            <w:r>
              <w:t>Competing and Semi-competing Risks</w:t>
            </w:r>
          </w:p>
        </w:tc>
        <w:tc>
          <w:tcPr>
            <w:tcW w:w="1320" w:type="dxa"/>
          </w:tcPr>
          <w:p w14:paraId="18F30FA3" w14:textId="77777777" w:rsidR="002A4968" w:rsidRDefault="00000000">
            <w:pPr>
              <w:pStyle w:val="Compact"/>
            </w:pPr>
            <w:r>
              <w:t>Chapter 10</w:t>
            </w:r>
          </w:p>
        </w:tc>
      </w:tr>
      <w:tr w:rsidR="002A4968" w14:paraId="6821772B" w14:textId="77777777">
        <w:tc>
          <w:tcPr>
            <w:tcW w:w="1320" w:type="dxa"/>
          </w:tcPr>
          <w:p w14:paraId="35C36E29" w14:textId="77777777" w:rsidR="002A4968" w:rsidRDefault="00000000">
            <w:pPr>
              <w:pStyle w:val="Compact"/>
            </w:pPr>
            <w:r>
              <w:t>3/18</w:t>
            </w:r>
          </w:p>
        </w:tc>
        <w:tc>
          <w:tcPr>
            <w:tcW w:w="5280" w:type="dxa"/>
          </w:tcPr>
          <w:p w14:paraId="2565F5A2" w14:textId="77777777" w:rsidR="002A4968" w:rsidRDefault="00000000">
            <w:pPr>
              <w:pStyle w:val="Compact"/>
            </w:pPr>
            <w:r>
              <w:t>Joint Analysis of Longitudinal and Survival Data</w:t>
            </w:r>
          </w:p>
        </w:tc>
        <w:tc>
          <w:tcPr>
            <w:tcW w:w="1320" w:type="dxa"/>
          </w:tcPr>
          <w:p w14:paraId="538D206A" w14:textId="77777777" w:rsidR="002A4968" w:rsidRDefault="00000000">
            <w:pPr>
              <w:pStyle w:val="Compact"/>
            </w:pPr>
            <w:r>
              <w:t>Chapter 11</w:t>
            </w:r>
          </w:p>
        </w:tc>
      </w:tr>
      <w:tr w:rsidR="002A4968" w14:paraId="6445B075" w14:textId="77777777">
        <w:tc>
          <w:tcPr>
            <w:tcW w:w="1320" w:type="dxa"/>
          </w:tcPr>
          <w:p w14:paraId="66E5A5B4" w14:textId="77777777" w:rsidR="002A4968" w:rsidRDefault="00000000">
            <w:pPr>
              <w:pStyle w:val="Compact"/>
            </w:pPr>
            <w:r>
              <w:t>3/23</w:t>
            </w:r>
          </w:p>
        </w:tc>
        <w:tc>
          <w:tcPr>
            <w:tcW w:w="5280" w:type="dxa"/>
          </w:tcPr>
          <w:p w14:paraId="1312D89D" w14:textId="77777777" w:rsidR="002A4968" w:rsidRDefault="00000000">
            <w:pPr>
              <w:pStyle w:val="Compact"/>
            </w:pPr>
            <w:r>
              <w:t>Multistate Models – Introduction</w:t>
            </w:r>
          </w:p>
        </w:tc>
        <w:tc>
          <w:tcPr>
            <w:tcW w:w="1320" w:type="dxa"/>
          </w:tcPr>
          <w:p w14:paraId="550CB9EE" w14:textId="77777777" w:rsidR="002A4968" w:rsidRDefault="00000000">
            <w:pPr>
              <w:pStyle w:val="Compact"/>
            </w:pPr>
            <w:r>
              <w:t>Chapter 12</w:t>
            </w:r>
          </w:p>
        </w:tc>
      </w:tr>
      <w:tr w:rsidR="002A4968" w14:paraId="04CB4C2C" w14:textId="77777777">
        <w:tc>
          <w:tcPr>
            <w:tcW w:w="1320" w:type="dxa"/>
          </w:tcPr>
          <w:p w14:paraId="608F5FE7" w14:textId="77777777" w:rsidR="002A4968" w:rsidRDefault="00000000">
            <w:pPr>
              <w:pStyle w:val="Compact"/>
            </w:pPr>
            <w:r>
              <w:t>3/25</w:t>
            </w:r>
          </w:p>
        </w:tc>
        <w:tc>
          <w:tcPr>
            <w:tcW w:w="5280" w:type="dxa"/>
          </w:tcPr>
          <w:p w14:paraId="775F143B" w14:textId="77777777" w:rsidR="002A4968" w:rsidRDefault="00000000">
            <w:pPr>
              <w:pStyle w:val="Compact"/>
            </w:pPr>
            <w:r>
              <w:t>Multistate Models – Cox-Type Markov and Semi-Markov Models</w:t>
            </w:r>
          </w:p>
        </w:tc>
        <w:tc>
          <w:tcPr>
            <w:tcW w:w="1320" w:type="dxa"/>
          </w:tcPr>
          <w:p w14:paraId="15980A2E" w14:textId="77777777" w:rsidR="002A4968" w:rsidRDefault="00000000">
            <w:pPr>
              <w:pStyle w:val="Compact"/>
            </w:pPr>
            <w:r>
              <w:t>Chapter 12</w:t>
            </w:r>
          </w:p>
        </w:tc>
      </w:tr>
      <w:tr w:rsidR="002A4968" w14:paraId="63720871" w14:textId="77777777">
        <w:tc>
          <w:tcPr>
            <w:tcW w:w="1320" w:type="dxa"/>
          </w:tcPr>
          <w:p w14:paraId="0635F613" w14:textId="77777777" w:rsidR="002A4968" w:rsidRDefault="00000000">
            <w:pPr>
              <w:pStyle w:val="Compact"/>
            </w:pPr>
            <w:r>
              <w:t>4/6</w:t>
            </w:r>
          </w:p>
        </w:tc>
        <w:tc>
          <w:tcPr>
            <w:tcW w:w="5280" w:type="dxa"/>
          </w:tcPr>
          <w:p w14:paraId="5F2DF252" w14:textId="77777777" w:rsidR="002A4968" w:rsidRDefault="00000000">
            <w:pPr>
              <w:pStyle w:val="Compact"/>
            </w:pPr>
            <w:r>
              <w:t>Composite Endpoints – Nonparametric Estimation</w:t>
            </w:r>
          </w:p>
        </w:tc>
        <w:tc>
          <w:tcPr>
            <w:tcW w:w="1320" w:type="dxa"/>
          </w:tcPr>
          <w:p w14:paraId="00B60F35" w14:textId="77777777" w:rsidR="002A4968" w:rsidRDefault="00000000">
            <w:pPr>
              <w:pStyle w:val="Compact"/>
            </w:pPr>
            <w:r>
              <w:t>Chapter 13</w:t>
            </w:r>
          </w:p>
        </w:tc>
      </w:tr>
      <w:tr w:rsidR="002A4968" w14:paraId="34CF955D" w14:textId="77777777">
        <w:tc>
          <w:tcPr>
            <w:tcW w:w="1320" w:type="dxa"/>
          </w:tcPr>
          <w:p w14:paraId="28BACCFE" w14:textId="77777777" w:rsidR="002A4968" w:rsidRDefault="00000000">
            <w:pPr>
              <w:pStyle w:val="Compact"/>
            </w:pPr>
            <w:r>
              <w:t>4/8</w:t>
            </w:r>
          </w:p>
        </w:tc>
        <w:tc>
          <w:tcPr>
            <w:tcW w:w="5280" w:type="dxa"/>
          </w:tcPr>
          <w:p w14:paraId="2156E778" w14:textId="77777777" w:rsidR="002A4968" w:rsidRDefault="00000000">
            <w:pPr>
              <w:pStyle w:val="Compact"/>
            </w:pPr>
            <w:r>
              <w:t>Composite Endpoints – Semiparametric Regression</w:t>
            </w:r>
          </w:p>
        </w:tc>
        <w:tc>
          <w:tcPr>
            <w:tcW w:w="1320" w:type="dxa"/>
          </w:tcPr>
          <w:p w14:paraId="1DFAAD1B" w14:textId="77777777" w:rsidR="002A4968" w:rsidRDefault="00000000">
            <w:pPr>
              <w:pStyle w:val="Compact"/>
            </w:pPr>
            <w:r>
              <w:t>Chapter 13</w:t>
            </w:r>
          </w:p>
        </w:tc>
      </w:tr>
    </w:tbl>
    <w:p w14:paraId="1AA1DF3D" w14:textId="77777777" w:rsidR="002A4968" w:rsidRDefault="00000000">
      <w:pPr>
        <w:pStyle w:val="Heading4"/>
      </w:pPr>
      <w:bookmarkStart w:id="13" w:name="part-iii-special-topics"/>
      <w:bookmarkEnd w:id="12"/>
      <w:r>
        <w:t>Part III: Special Topics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6429"/>
        <w:gridCol w:w="1573"/>
      </w:tblGrid>
      <w:tr w:rsidR="002A4968" w14:paraId="386B5B3C" w14:textId="77777777" w:rsidTr="002A4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1" w:type="dxa"/>
          </w:tcPr>
          <w:p w14:paraId="4EFDE174" w14:textId="77777777" w:rsidR="002A4968" w:rsidRDefault="00000000">
            <w:pPr>
              <w:pStyle w:val="Compact"/>
            </w:pPr>
            <w:r>
              <w:t>Date</w:t>
            </w:r>
          </w:p>
        </w:tc>
        <w:tc>
          <w:tcPr>
            <w:tcW w:w="5316" w:type="dxa"/>
          </w:tcPr>
          <w:p w14:paraId="7CBF051D" w14:textId="77777777" w:rsidR="002A4968" w:rsidRDefault="00000000">
            <w:pPr>
              <w:pStyle w:val="Compact"/>
            </w:pPr>
            <w:r>
              <w:t>Topic</w:t>
            </w:r>
          </w:p>
        </w:tc>
        <w:tc>
          <w:tcPr>
            <w:tcW w:w="1301" w:type="dxa"/>
          </w:tcPr>
          <w:p w14:paraId="473431E8" w14:textId="77777777" w:rsidR="002A4968" w:rsidRDefault="00000000">
            <w:pPr>
              <w:pStyle w:val="Compact"/>
            </w:pPr>
            <w:r>
              <w:t>Notes</w:t>
            </w:r>
          </w:p>
        </w:tc>
      </w:tr>
      <w:tr w:rsidR="002A4968" w14:paraId="464DE1C7" w14:textId="77777777">
        <w:tc>
          <w:tcPr>
            <w:tcW w:w="1301" w:type="dxa"/>
          </w:tcPr>
          <w:p w14:paraId="0997F15B" w14:textId="77777777" w:rsidR="002A4968" w:rsidRDefault="00000000">
            <w:pPr>
              <w:pStyle w:val="Compact"/>
            </w:pPr>
            <w:r>
              <w:t>4/13</w:t>
            </w:r>
          </w:p>
        </w:tc>
        <w:tc>
          <w:tcPr>
            <w:tcW w:w="5316" w:type="dxa"/>
          </w:tcPr>
          <w:p w14:paraId="2512DA65" w14:textId="77777777" w:rsidR="002A4968" w:rsidRDefault="00000000">
            <w:pPr>
              <w:pStyle w:val="Compact"/>
            </w:pPr>
            <w:r>
              <w:t>Causal Inference with Censored Data – IPTW and Standardization</w:t>
            </w:r>
          </w:p>
        </w:tc>
        <w:tc>
          <w:tcPr>
            <w:tcW w:w="1301" w:type="dxa"/>
          </w:tcPr>
          <w:p w14:paraId="5F512038" w14:textId="77777777" w:rsidR="002A4968" w:rsidRDefault="00000000">
            <w:pPr>
              <w:pStyle w:val="Compact"/>
            </w:pPr>
            <w:r>
              <w:t>Chapter 14</w:t>
            </w:r>
          </w:p>
        </w:tc>
      </w:tr>
      <w:tr w:rsidR="002A4968" w14:paraId="5DD3FDC7" w14:textId="77777777">
        <w:tc>
          <w:tcPr>
            <w:tcW w:w="1301" w:type="dxa"/>
          </w:tcPr>
          <w:p w14:paraId="34DB7C8A" w14:textId="77777777" w:rsidR="002A4968" w:rsidRDefault="00000000">
            <w:pPr>
              <w:pStyle w:val="Compact"/>
            </w:pPr>
            <w:r>
              <w:t>4/15</w:t>
            </w:r>
          </w:p>
        </w:tc>
        <w:tc>
          <w:tcPr>
            <w:tcW w:w="5316" w:type="dxa"/>
          </w:tcPr>
          <w:p w14:paraId="63458D87" w14:textId="77777777" w:rsidR="002A4968" w:rsidRDefault="00000000">
            <w:pPr>
              <w:pStyle w:val="Compact"/>
            </w:pPr>
            <w:r>
              <w:t>Causal Inference with Censored Data – Marginal Structural Models</w:t>
            </w:r>
          </w:p>
        </w:tc>
        <w:tc>
          <w:tcPr>
            <w:tcW w:w="1301" w:type="dxa"/>
          </w:tcPr>
          <w:p w14:paraId="7E53543F" w14:textId="77777777" w:rsidR="002A4968" w:rsidRDefault="00000000">
            <w:pPr>
              <w:pStyle w:val="Compact"/>
            </w:pPr>
            <w:r>
              <w:t>Chapter 14</w:t>
            </w:r>
          </w:p>
        </w:tc>
      </w:tr>
      <w:tr w:rsidR="002A4968" w14:paraId="5C898E7B" w14:textId="77777777">
        <w:tc>
          <w:tcPr>
            <w:tcW w:w="1301" w:type="dxa"/>
          </w:tcPr>
          <w:p w14:paraId="28BBB61A" w14:textId="77777777" w:rsidR="002A4968" w:rsidRDefault="00000000">
            <w:pPr>
              <w:pStyle w:val="Compact"/>
            </w:pPr>
            <w:r>
              <w:t>4/20</w:t>
            </w:r>
          </w:p>
        </w:tc>
        <w:tc>
          <w:tcPr>
            <w:tcW w:w="5316" w:type="dxa"/>
          </w:tcPr>
          <w:p w14:paraId="4445D21F" w14:textId="77777777" w:rsidR="002A4968" w:rsidRDefault="00000000">
            <w:pPr>
              <w:pStyle w:val="Compact"/>
            </w:pPr>
            <w:r>
              <w:t>Machine Learning with Censored Data – Regularized Cox Models</w:t>
            </w:r>
          </w:p>
        </w:tc>
        <w:tc>
          <w:tcPr>
            <w:tcW w:w="1301" w:type="dxa"/>
          </w:tcPr>
          <w:p w14:paraId="459ABE76" w14:textId="77777777" w:rsidR="002A4968" w:rsidRDefault="00000000">
            <w:pPr>
              <w:pStyle w:val="Compact"/>
            </w:pPr>
            <w:r>
              <w:t>Chapter 15</w:t>
            </w:r>
          </w:p>
        </w:tc>
      </w:tr>
      <w:tr w:rsidR="002A4968" w14:paraId="1A4A1D5D" w14:textId="77777777">
        <w:tc>
          <w:tcPr>
            <w:tcW w:w="1301" w:type="dxa"/>
          </w:tcPr>
          <w:p w14:paraId="242BE7D1" w14:textId="77777777" w:rsidR="002A4968" w:rsidRDefault="00000000">
            <w:pPr>
              <w:pStyle w:val="Compact"/>
            </w:pPr>
            <w:r>
              <w:t>4/22</w:t>
            </w:r>
          </w:p>
        </w:tc>
        <w:tc>
          <w:tcPr>
            <w:tcW w:w="5316" w:type="dxa"/>
          </w:tcPr>
          <w:p w14:paraId="4368FC51" w14:textId="77777777" w:rsidR="002A4968" w:rsidRDefault="00000000">
            <w:pPr>
              <w:pStyle w:val="Compact"/>
            </w:pPr>
            <w:r>
              <w:t>Machine Learning with Censored Data – Tree-based methods</w:t>
            </w:r>
          </w:p>
        </w:tc>
        <w:tc>
          <w:tcPr>
            <w:tcW w:w="1301" w:type="dxa"/>
          </w:tcPr>
          <w:p w14:paraId="2DA47C87" w14:textId="77777777" w:rsidR="002A4968" w:rsidRDefault="00000000">
            <w:pPr>
              <w:pStyle w:val="Compact"/>
            </w:pPr>
            <w:r>
              <w:t>Chapter 15</w:t>
            </w:r>
          </w:p>
        </w:tc>
      </w:tr>
      <w:tr w:rsidR="002A4968" w14:paraId="6FCC8ADC" w14:textId="77777777">
        <w:tc>
          <w:tcPr>
            <w:tcW w:w="1301" w:type="dxa"/>
          </w:tcPr>
          <w:p w14:paraId="285535DA" w14:textId="77777777" w:rsidR="002A4968" w:rsidRDefault="00000000">
            <w:pPr>
              <w:pStyle w:val="Compact"/>
            </w:pPr>
            <w:r>
              <w:lastRenderedPageBreak/>
              <w:t>4/27</w:t>
            </w:r>
          </w:p>
        </w:tc>
        <w:tc>
          <w:tcPr>
            <w:tcW w:w="5316" w:type="dxa"/>
          </w:tcPr>
          <w:p w14:paraId="67FFC775" w14:textId="77777777" w:rsidR="002A4968" w:rsidRDefault="00000000">
            <w:pPr>
              <w:pStyle w:val="Compact"/>
            </w:pPr>
            <w:r>
              <w:t>Guest lecture</w:t>
            </w:r>
          </w:p>
        </w:tc>
        <w:tc>
          <w:tcPr>
            <w:tcW w:w="1301" w:type="dxa"/>
          </w:tcPr>
          <w:p w14:paraId="5A93B67C" w14:textId="77777777" w:rsidR="002A4968" w:rsidRDefault="002A4968">
            <w:pPr>
              <w:pStyle w:val="Compact"/>
            </w:pPr>
          </w:p>
        </w:tc>
      </w:tr>
      <w:tr w:rsidR="002A4968" w14:paraId="44325BF3" w14:textId="77777777">
        <w:tc>
          <w:tcPr>
            <w:tcW w:w="1301" w:type="dxa"/>
          </w:tcPr>
          <w:p w14:paraId="14F815A2" w14:textId="77777777" w:rsidR="002A4968" w:rsidRDefault="00000000">
            <w:pPr>
              <w:pStyle w:val="Compact"/>
            </w:pPr>
            <w:r>
              <w:t>4/29</w:t>
            </w:r>
          </w:p>
        </w:tc>
        <w:tc>
          <w:tcPr>
            <w:tcW w:w="5316" w:type="dxa"/>
          </w:tcPr>
          <w:p w14:paraId="0C629723" w14:textId="77777777" w:rsidR="002A4968" w:rsidRDefault="00000000">
            <w:pPr>
              <w:pStyle w:val="Compact"/>
            </w:pPr>
            <w:r>
              <w:t>Course recap</w:t>
            </w:r>
          </w:p>
        </w:tc>
        <w:tc>
          <w:tcPr>
            <w:tcW w:w="1301" w:type="dxa"/>
          </w:tcPr>
          <w:p w14:paraId="3D4CBE6E" w14:textId="77777777" w:rsidR="002A4968" w:rsidRDefault="002A4968">
            <w:pPr>
              <w:pStyle w:val="Compact"/>
            </w:pPr>
          </w:p>
        </w:tc>
      </w:tr>
    </w:tbl>
    <w:p w14:paraId="5AFE58E2" w14:textId="77777777" w:rsidR="002A4968" w:rsidRDefault="00000000">
      <w:pPr>
        <w:pStyle w:val="Heading3"/>
      </w:pPr>
      <w:bookmarkStart w:id="14" w:name="homework-and-exams"/>
      <w:bookmarkEnd w:id="9"/>
      <w:bookmarkEnd w:id="13"/>
      <w:r>
        <w:t>Homework and Exams</w:t>
      </w:r>
    </w:p>
    <w:p w14:paraId="6AA4CD9C" w14:textId="77777777" w:rsidR="002A4968" w:rsidRDefault="00000000">
      <w:pPr>
        <w:pStyle w:val="Compact"/>
        <w:numPr>
          <w:ilvl w:val="0"/>
          <w:numId w:val="4"/>
        </w:numPr>
      </w:pPr>
      <w:r>
        <w:t>Homework assigned on a biweekly basis</w:t>
      </w:r>
    </w:p>
    <w:p w14:paraId="4F70CF02" w14:textId="77777777" w:rsidR="002A4968" w:rsidRDefault="00000000">
      <w:pPr>
        <w:pStyle w:val="Compact"/>
        <w:numPr>
          <w:ilvl w:val="0"/>
          <w:numId w:val="4"/>
        </w:numPr>
      </w:pPr>
      <w:r>
        <w:t>In-class quizzes</w:t>
      </w:r>
    </w:p>
    <w:p w14:paraId="35C26ACD" w14:textId="77777777" w:rsidR="002A4968" w:rsidRDefault="00000000">
      <w:pPr>
        <w:pStyle w:val="Compact"/>
        <w:numPr>
          <w:ilvl w:val="0"/>
          <w:numId w:val="4"/>
        </w:numPr>
      </w:pPr>
      <w:r>
        <w:t>Final data analysis project</w:t>
      </w:r>
    </w:p>
    <w:p w14:paraId="7E880399" w14:textId="77777777" w:rsidR="002A4968" w:rsidRDefault="00000000">
      <w:pPr>
        <w:pStyle w:val="Heading3"/>
      </w:pPr>
      <w:bookmarkStart w:id="15" w:name="grading"/>
      <w:bookmarkEnd w:id="14"/>
      <w:r>
        <w:t>Grading</w:t>
      </w:r>
    </w:p>
    <w:p w14:paraId="42FF0F93" w14:textId="66418016" w:rsidR="002A49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30%</w:t>
      </w:r>
      <w:r>
        <w:t xml:space="preserve"> Attendance and in-class quizzes</w:t>
      </w:r>
    </w:p>
    <w:p w14:paraId="4E055225" w14:textId="79DBA7B4" w:rsidR="002A49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30%</w:t>
      </w:r>
      <w:r>
        <w:t xml:space="preserve"> Homework</w:t>
      </w:r>
    </w:p>
    <w:p w14:paraId="3D2D23D1" w14:textId="77777777" w:rsidR="002A49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20%</w:t>
      </w:r>
      <w:r>
        <w:t xml:space="preserve"> Midterm</w:t>
      </w:r>
    </w:p>
    <w:p w14:paraId="07C3E29E" w14:textId="77777777" w:rsidR="002A49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20%</w:t>
      </w:r>
      <w:r>
        <w:t xml:space="preserve"> Final project</w:t>
      </w:r>
      <w:bookmarkEnd w:id="15"/>
    </w:p>
    <w:sectPr w:rsidR="002A496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F67A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6A8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3287180">
    <w:abstractNumId w:val="0"/>
  </w:num>
  <w:num w:numId="2" w16cid:durableId="252319333">
    <w:abstractNumId w:val="1"/>
  </w:num>
  <w:num w:numId="3" w16cid:durableId="1582527203">
    <w:abstractNumId w:val="1"/>
  </w:num>
  <w:num w:numId="4" w16cid:durableId="1101416783">
    <w:abstractNumId w:val="1"/>
  </w:num>
  <w:num w:numId="5" w16cid:durableId="88260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968"/>
    <w:rsid w:val="002131DB"/>
    <w:rsid w:val="002A4968"/>
    <w:rsid w:val="00BD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A97A"/>
  <w15:docId w15:val="{E5FCA928-6762-43B1-A3FA-54844A72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aowisc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680</Words>
  <Characters>4250</Characters>
  <Application>Microsoft Office Word</Application>
  <DocSecurity>0</DocSecurity>
  <Lines>184</Lines>
  <Paragraphs>154</Paragraphs>
  <ScaleCrop>false</ScaleCrop>
  <Company>University of Wisconsin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cp:lastModifiedBy>Lu Mao</cp:lastModifiedBy>
  <cp:revision>2</cp:revision>
  <dcterms:created xsi:type="dcterms:W3CDTF">2026-01-16T03:27:00Z</dcterms:created>
  <dcterms:modified xsi:type="dcterms:W3CDTF">2026-01-16T03:28:00Z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