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F6162A" w:rsidRDefault="00531E4E">
      <w:bookmarkStart w:id="0" w:name="_wldwhz72oji6" w:colFirst="0" w:colLast="0"/>
      <w:bookmarkStart w:id="1" w:name="_GoBack"/>
      <w:bookmarkEnd w:id="0"/>
      <w:r>
        <w:rPr>
          <w:b/>
          <w:sz w:val="28"/>
          <w:szCs w:val="28"/>
        </w:rPr>
        <w:t xml:space="preserve">Qué </w:t>
      </w:r>
      <w:r w:rsidR="00A57A7E">
        <w:rPr>
          <w:b/>
          <w:sz w:val="28"/>
          <w:szCs w:val="28"/>
        </w:rPr>
        <w:t>analizar de los forrajes conservados</w:t>
      </w:r>
    </w:p>
    <w:p w:rsidR="00F6162A" w:rsidRDefault="00531E4E">
      <w:pPr>
        <w:jc w:val="both"/>
      </w:pPr>
      <w:bookmarkStart w:id="2" w:name="_2brx8x2l9vtl" w:colFirst="0" w:colLast="0"/>
      <w:bookmarkEnd w:id="2"/>
      <w:bookmarkEnd w:id="1"/>
      <w:r>
        <w:rPr>
          <w:i/>
        </w:rPr>
        <w:t>Si tomamos la decisión de remitir una muestra a laboratorio, es porque queremos conocer la calidad del forraje que tenemos conservado. Pero dentro de todos los parámetros que podemos conocer de un forraje, algunos nos servirán más que otros, según los requ</w:t>
      </w:r>
      <w:r>
        <w:rPr>
          <w:i/>
        </w:rPr>
        <w:t>erimientos de nuestros asesores y cómo los utilizarán luego para balancear una dieta.</w:t>
      </w:r>
    </w:p>
    <w:p w:rsidR="00F6162A" w:rsidRDefault="00531E4E">
      <w:pPr>
        <w:jc w:val="both"/>
      </w:pPr>
      <w:bookmarkStart w:id="3" w:name="_bjltcgkkcjur" w:colFirst="0" w:colLast="0"/>
      <w:bookmarkEnd w:id="3"/>
      <w:r>
        <w:t>Los parámetros relacionados con la composición química de los alimentos más importantes a considerar, para el diagnóstico de la calidad nutritiva de los forrajes conserva</w:t>
      </w:r>
      <w:r>
        <w:t>dos y subproductos son materia seca, almidón, proteína bruta, fibra digestible ácido y neutro, cenizas y pH.</w:t>
      </w:r>
    </w:p>
    <w:p w:rsidR="00F6162A" w:rsidRDefault="00531E4E">
      <w:pPr>
        <w:jc w:val="both"/>
      </w:pPr>
      <w:bookmarkStart w:id="4" w:name="_lv1hoqxo391z" w:colFirst="0" w:colLast="0"/>
      <w:bookmarkEnd w:id="4"/>
      <w:r>
        <w:rPr>
          <w:b/>
        </w:rPr>
        <w:t>Materia seca (%MS)</w:t>
      </w:r>
      <w:r>
        <w:t>: conocer este valor, nos va a permitir ajustar el volumen de alimento a ofrecer por animal y por día, como así también el conten</w:t>
      </w:r>
      <w:r>
        <w:t>ido de humedad de las raciones totalmente mezcladas.</w:t>
      </w:r>
    </w:p>
    <w:p w:rsidR="00F6162A" w:rsidRDefault="00531E4E">
      <w:pPr>
        <w:jc w:val="both"/>
      </w:pPr>
      <w:bookmarkStart w:id="5" w:name="_h1vv2o3y6bq1" w:colFirst="0" w:colLast="0"/>
      <w:bookmarkEnd w:id="5"/>
      <w:r>
        <w:rPr>
          <w:b/>
        </w:rPr>
        <w:t>Almidón:</w:t>
      </w:r>
      <w:r>
        <w:t xml:space="preserve"> nos permite inferir el valor energético del forraje.</w:t>
      </w:r>
    </w:p>
    <w:p w:rsidR="00F6162A" w:rsidRDefault="00531E4E">
      <w:pPr>
        <w:jc w:val="both"/>
      </w:pPr>
      <w:bookmarkStart w:id="6" w:name="_p6jn3d2sevur" w:colFirst="0" w:colLast="0"/>
      <w:bookmarkEnd w:id="6"/>
      <w:r>
        <w:rPr>
          <w:b/>
        </w:rPr>
        <w:t>Proteína bruta (%PB):</w:t>
      </w:r>
      <w:r>
        <w:t xml:space="preserve"> la proteína es uno de los parámetros de mayor interés en la dieta de los bovinos al momento de ajustar dietas en conjun</w:t>
      </w:r>
      <w:r>
        <w:t xml:space="preserve">to con la </w:t>
      </w:r>
      <w:proofErr w:type="spellStart"/>
      <w:r>
        <w:t>la</w:t>
      </w:r>
      <w:proofErr w:type="spellEnd"/>
      <w:r>
        <w:t xml:space="preserve"> energía. </w:t>
      </w:r>
    </w:p>
    <w:p w:rsidR="00F6162A" w:rsidRDefault="00531E4E">
      <w:pPr>
        <w:jc w:val="both"/>
      </w:pPr>
      <w:bookmarkStart w:id="7" w:name="_b51cnkrq9dbo" w:colFirst="0" w:colLast="0"/>
      <w:bookmarkEnd w:id="7"/>
      <w:r>
        <w:rPr>
          <w:b/>
        </w:rPr>
        <w:t>Fibra digestible ácido (%FDA</w:t>
      </w:r>
      <w:proofErr w:type="gramStart"/>
      <w:r>
        <w:rPr>
          <w:b/>
        </w:rPr>
        <w:t>) :</w:t>
      </w:r>
      <w:proofErr w:type="gramEnd"/>
      <w:r>
        <w:t xml:space="preserve"> es la parte de la pared celular relacionada a la lignina. Este valor nos estará infiriendo la digestibilidad de ese alimento.</w:t>
      </w:r>
    </w:p>
    <w:p w:rsidR="00F6162A" w:rsidRDefault="00531E4E">
      <w:pPr>
        <w:jc w:val="both"/>
      </w:pPr>
      <w:bookmarkStart w:id="8" w:name="_4wtad8ivse4i" w:colFirst="0" w:colLast="0"/>
      <w:bookmarkEnd w:id="8"/>
      <w:r>
        <w:rPr>
          <w:b/>
        </w:rPr>
        <w:t>Fibra digestible neutro (%FDN):</w:t>
      </w:r>
      <w:r>
        <w:t xml:space="preserve"> representa los componentes de la pared celu</w:t>
      </w:r>
      <w:r>
        <w:t xml:space="preserve">lar: lignina, celulosa y </w:t>
      </w:r>
      <w:proofErr w:type="spellStart"/>
      <w:r>
        <w:t>hemicelulosa</w:t>
      </w:r>
      <w:proofErr w:type="spellEnd"/>
      <w:r>
        <w:t xml:space="preserve"> entre otros. Indirectamente este valor nos va a estar prediciendo el consumo voluntario que va a tener el animal.</w:t>
      </w:r>
    </w:p>
    <w:p w:rsidR="00F6162A" w:rsidRDefault="00531E4E">
      <w:pPr>
        <w:jc w:val="both"/>
      </w:pPr>
      <w:bookmarkStart w:id="9" w:name="_wyn8hzhu3zsz" w:colFirst="0" w:colLast="0"/>
      <w:bookmarkEnd w:id="9"/>
      <w:r>
        <w:rPr>
          <w:b/>
        </w:rPr>
        <w:t xml:space="preserve">Cenizas (%CZ): </w:t>
      </w:r>
      <w:r>
        <w:t xml:space="preserve">es la fracción mineral del alimento y que indirectamente nos podría indicar (si el valor </w:t>
      </w:r>
      <w:r>
        <w:t>es alto), una contaminación con tierra.</w:t>
      </w:r>
    </w:p>
    <w:p w:rsidR="00F6162A" w:rsidRDefault="00531E4E">
      <w:pPr>
        <w:jc w:val="both"/>
      </w:pPr>
      <w:bookmarkStart w:id="10" w:name="_50t00l72licd" w:colFirst="0" w:colLast="0"/>
      <w:bookmarkEnd w:id="10"/>
      <w:proofErr w:type="gramStart"/>
      <w:r>
        <w:rPr>
          <w:b/>
        </w:rPr>
        <w:t>pH</w:t>
      </w:r>
      <w:proofErr w:type="gramEnd"/>
      <w:r>
        <w:rPr>
          <w:b/>
        </w:rPr>
        <w:t>:</w:t>
      </w:r>
      <w:r>
        <w:t xml:space="preserve"> indica el grado de acidez del alimento. De acuerdo éste valor, se puede determinar el tipo de fermentación que se ha producido en él.</w:t>
      </w:r>
    </w:p>
    <w:p w:rsidR="00F6162A" w:rsidRDefault="00531E4E">
      <w:pPr>
        <w:jc w:val="both"/>
      </w:pPr>
      <w:bookmarkStart w:id="11" w:name="_8mol885z0p6m" w:colFirst="0" w:colLast="0"/>
      <w:bookmarkEnd w:id="11"/>
      <w:r>
        <w:t>Rango de valores deseables en los distintos forrajes conservados:</w:t>
      </w:r>
    </w:p>
    <w:p w:rsidR="00F6162A" w:rsidRDefault="00F6162A">
      <w:pPr>
        <w:jc w:val="both"/>
      </w:pPr>
      <w:bookmarkStart w:id="12" w:name="_jc7wli2rqo37" w:colFirst="0" w:colLast="0"/>
      <w:bookmarkEnd w:id="12"/>
    </w:p>
    <w:tbl>
      <w:tblPr>
        <w:tblStyle w:val="a"/>
        <w:tblW w:w="8838" w:type="dxa"/>
        <w:tblInd w:w="4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600" w:firstRow="0" w:lastRow="0" w:firstColumn="0" w:lastColumn="0" w:noHBand="1" w:noVBand="1"/>
      </w:tblPr>
      <w:tblGrid>
        <w:gridCol w:w="1615"/>
        <w:gridCol w:w="1016"/>
        <w:gridCol w:w="1181"/>
        <w:gridCol w:w="1002"/>
        <w:gridCol w:w="1062"/>
        <w:gridCol w:w="1062"/>
        <w:gridCol w:w="987"/>
        <w:gridCol w:w="913"/>
      </w:tblGrid>
      <w:tr w:rsidR="00F6162A">
        <w:tblPrEx>
          <w:tblCellMar>
            <w:top w:w="0" w:type="dxa"/>
            <w:left w:w="0" w:type="dxa"/>
            <w:bottom w:w="0" w:type="dxa"/>
            <w:right w:w="0" w:type="dxa"/>
          </w:tblCellMar>
        </w:tblPrEx>
        <w:tc>
          <w:tcPr>
            <w:tcW w:w="1615" w:type="dxa"/>
            <w:tcBorders>
              <w:top w:val="nil"/>
              <w:left w:val="nil"/>
              <w:bottom w:val="nil"/>
              <w:right w:val="nil"/>
            </w:tcBorders>
            <w:shd w:val="clear" w:color="auto" w:fill="FFFF00"/>
            <w:tcMar>
              <w:top w:w="40" w:type="dxa"/>
              <w:left w:w="40" w:type="dxa"/>
              <w:bottom w:w="40" w:type="dxa"/>
              <w:right w:w="40" w:type="dxa"/>
            </w:tcMar>
            <w:vAlign w:val="bottom"/>
          </w:tcPr>
          <w:p w:rsidR="00F6162A" w:rsidRDefault="00531E4E">
            <w:pPr>
              <w:jc w:val="both"/>
            </w:pPr>
            <w:r>
              <w:rPr>
                <w:rFonts w:ascii="Arial" w:eastAsia="Arial" w:hAnsi="Arial" w:cs="Arial"/>
                <w:b/>
                <w:sz w:val="20"/>
                <w:szCs w:val="20"/>
                <w:highlight w:val="yellow"/>
              </w:rPr>
              <w:t>Forraje</w:t>
            </w:r>
          </w:p>
        </w:tc>
        <w:tc>
          <w:tcPr>
            <w:tcW w:w="1016" w:type="dxa"/>
            <w:tcBorders>
              <w:top w:val="nil"/>
              <w:bottom w:val="nil"/>
              <w:right w:val="nil"/>
            </w:tcBorders>
            <w:shd w:val="clear" w:color="auto" w:fill="FFFF00"/>
            <w:tcMar>
              <w:top w:w="40" w:type="dxa"/>
              <w:left w:w="40" w:type="dxa"/>
              <w:bottom w:w="40" w:type="dxa"/>
              <w:right w:w="40" w:type="dxa"/>
            </w:tcMar>
            <w:vAlign w:val="bottom"/>
          </w:tcPr>
          <w:p w:rsidR="00F6162A" w:rsidRDefault="00531E4E">
            <w:pPr>
              <w:jc w:val="center"/>
            </w:pPr>
            <w:r>
              <w:rPr>
                <w:rFonts w:ascii="Arial" w:eastAsia="Arial" w:hAnsi="Arial" w:cs="Arial"/>
                <w:b/>
                <w:sz w:val="20"/>
                <w:szCs w:val="20"/>
                <w:highlight w:val="yellow"/>
              </w:rPr>
              <w:t>%MS</w:t>
            </w:r>
          </w:p>
        </w:tc>
        <w:tc>
          <w:tcPr>
            <w:tcW w:w="1181" w:type="dxa"/>
            <w:tcBorders>
              <w:top w:val="nil"/>
              <w:bottom w:val="nil"/>
              <w:right w:val="nil"/>
            </w:tcBorders>
            <w:shd w:val="clear" w:color="auto" w:fill="FFFF00"/>
            <w:tcMar>
              <w:top w:w="40" w:type="dxa"/>
              <w:left w:w="40" w:type="dxa"/>
              <w:bottom w:w="40" w:type="dxa"/>
              <w:right w:w="40" w:type="dxa"/>
            </w:tcMar>
            <w:vAlign w:val="bottom"/>
          </w:tcPr>
          <w:p w:rsidR="00F6162A" w:rsidRDefault="00531E4E">
            <w:pPr>
              <w:jc w:val="center"/>
            </w:pPr>
            <w:r>
              <w:rPr>
                <w:rFonts w:ascii="Arial" w:eastAsia="Arial" w:hAnsi="Arial" w:cs="Arial"/>
                <w:b/>
                <w:sz w:val="20"/>
                <w:szCs w:val="20"/>
                <w:highlight w:val="yellow"/>
              </w:rPr>
              <w:t>Almidón</w:t>
            </w:r>
          </w:p>
        </w:tc>
        <w:tc>
          <w:tcPr>
            <w:tcW w:w="1001" w:type="dxa"/>
            <w:tcBorders>
              <w:top w:val="nil"/>
              <w:bottom w:val="nil"/>
              <w:right w:val="nil"/>
            </w:tcBorders>
            <w:shd w:val="clear" w:color="auto" w:fill="FFFF00"/>
            <w:tcMar>
              <w:top w:w="40" w:type="dxa"/>
              <w:left w:w="40" w:type="dxa"/>
              <w:bottom w:w="40" w:type="dxa"/>
              <w:right w:w="40" w:type="dxa"/>
            </w:tcMar>
            <w:vAlign w:val="bottom"/>
          </w:tcPr>
          <w:p w:rsidR="00F6162A" w:rsidRDefault="00531E4E">
            <w:pPr>
              <w:jc w:val="center"/>
            </w:pPr>
            <w:r>
              <w:rPr>
                <w:rFonts w:ascii="Arial" w:eastAsia="Arial" w:hAnsi="Arial" w:cs="Arial"/>
                <w:b/>
                <w:sz w:val="20"/>
                <w:szCs w:val="20"/>
                <w:highlight w:val="yellow"/>
              </w:rPr>
              <w:t>%PB</w:t>
            </w:r>
          </w:p>
        </w:tc>
        <w:tc>
          <w:tcPr>
            <w:tcW w:w="1061" w:type="dxa"/>
            <w:tcBorders>
              <w:top w:val="nil"/>
              <w:bottom w:val="nil"/>
              <w:right w:val="nil"/>
            </w:tcBorders>
            <w:shd w:val="clear" w:color="auto" w:fill="FFFF00"/>
            <w:tcMar>
              <w:top w:w="40" w:type="dxa"/>
              <w:left w:w="40" w:type="dxa"/>
              <w:bottom w:w="40" w:type="dxa"/>
              <w:right w:w="40" w:type="dxa"/>
            </w:tcMar>
            <w:vAlign w:val="bottom"/>
          </w:tcPr>
          <w:p w:rsidR="00F6162A" w:rsidRDefault="00531E4E">
            <w:pPr>
              <w:jc w:val="center"/>
            </w:pPr>
            <w:r>
              <w:rPr>
                <w:rFonts w:ascii="Arial" w:eastAsia="Arial" w:hAnsi="Arial" w:cs="Arial"/>
                <w:b/>
                <w:sz w:val="20"/>
                <w:szCs w:val="20"/>
                <w:highlight w:val="yellow"/>
              </w:rPr>
              <w:t>%FDA</w:t>
            </w:r>
          </w:p>
        </w:tc>
        <w:tc>
          <w:tcPr>
            <w:tcW w:w="1061" w:type="dxa"/>
            <w:tcBorders>
              <w:top w:val="nil"/>
              <w:bottom w:val="nil"/>
              <w:right w:val="nil"/>
            </w:tcBorders>
            <w:shd w:val="clear" w:color="auto" w:fill="FFFF00"/>
            <w:tcMar>
              <w:top w:w="40" w:type="dxa"/>
              <w:left w:w="40" w:type="dxa"/>
              <w:bottom w:w="40" w:type="dxa"/>
              <w:right w:w="40" w:type="dxa"/>
            </w:tcMar>
            <w:vAlign w:val="bottom"/>
          </w:tcPr>
          <w:p w:rsidR="00F6162A" w:rsidRDefault="00531E4E">
            <w:pPr>
              <w:jc w:val="center"/>
            </w:pPr>
            <w:r>
              <w:rPr>
                <w:rFonts w:ascii="Arial" w:eastAsia="Arial" w:hAnsi="Arial" w:cs="Arial"/>
                <w:b/>
                <w:sz w:val="20"/>
                <w:szCs w:val="20"/>
                <w:highlight w:val="yellow"/>
              </w:rPr>
              <w:t>%FDN</w:t>
            </w:r>
          </w:p>
        </w:tc>
        <w:tc>
          <w:tcPr>
            <w:tcW w:w="986" w:type="dxa"/>
            <w:tcBorders>
              <w:top w:val="nil"/>
              <w:bottom w:val="nil"/>
              <w:right w:val="nil"/>
            </w:tcBorders>
            <w:shd w:val="clear" w:color="auto" w:fill="FFFF00"/>
            <w:tcMar>
              <w:top w:w="40" w:type="dxa"/>
              <w:left w:w="40" w:type="dxa"/>
              <w:bottom w:w="40" w:type="dxa"/>
              <w:right w:w="40" w:type="dxa"/>
            </w:tcMar>
            <w:vAlign w:val="bottom"/>
          </w:tcPr>
          <w:p w:rsidR="00F6162A" w:rsidRDefault="00531E4E">
            <w:pPr>
              <w:jc w:val="center"/>
            </w:pPr>
            <w:r>
              <w:rPr>
                <w:rFonts w:ascii="Arial" w:eastAsia="Arial" w:hAnsi="Arial" w:cs="Arial"/>
                <w:b/>
                <w:sz w:val="20"/>
                <w:szCs w:val="20"/>
                <w:highlight w:val="yellow"/>
              </w:rPr>
              <w:t>%CZ</w:t>
            </w:r>
          </w:p>
        </w:tc>
        <w:tc>
          <w:tcPr>
            <w:tcW w:w="912" w:type="dxa"/>
            <w:tcBorders>
              <w:top w:val="nil"/>
              <w:bottom w:val="nil"/>
              <w:right w:val="nil"/>
            </w:tcBorders>
            <w:shd w:val="clear" w:color="auto" w:fill="FFFF00"/>
            <w:tcMar>
              <w:top w:w="40" w:type="dxa"/>
              <w:left w:w="40" w:type="dxa"/>
              <w:bottom w:w="40" w:type="dxa"/>
              <w:right w:w="40" w:type="dxa"/>
            </w:tcMar>
            <w:vAlign w:val="bottom"/>
          </w:tcPr>
          <w:p w:rsidR="00F6162A" w:rsidRDefault="00531E4E">
            <w:pPr>
              <w:jc w:val="center"/>
            </w:pPr>
            <w:r>
              <w:rPr>
                <w:rFonts w:ascii="Arial" w:eastAsia="Arial" w:hAnsi="Arial" w:cs="Arial"/>
                <w:b/>
                <w:sz w:val="20"/>
                <w:szCs w:val="20"/>
                <w:highlight w:val="yellow"/>
              </w:rPr>
              <w:t>pH</w:t>
            </w:r>
          </w:p>
        </w:tc>
      </w:tr>
      <w:tr w:rsidR="00F6162A">
        <w:tblPrEx>
          <w:tblCellMar>
            <w:top w:w="0" w:type="dxa"/>
            <w:left w:w="0" w:type="dxa"/>
            <w:bottom w:w="0" w:type="dxa"/>
            <w:right w:w="0" w:type="dxa"/>
          </w:tblCellMar>
        </w:tblPrEx>
        <w:tc>
          <w:tcPr>
            <w:tcW w:w="1615" w:type="dxa"/>
            <w:tcBorders>
              <w:left w:val="nil"/>
              <w:bottom w:val="nil"/>
              <w:right w:val="nil"/>
            </w:tcBorders>
            <w:shd w:val="clear" w:color="auto" w:fill="FFFF00"/>
            <w:tcMar>
              <w:top w:w="40" w:type="dxa"/>
              <w:left w:w="40" w:type="dxa"/>
              <w:bottom w:w="40" w:type="dxa"/>
              <w:right w:w="40" w:type="dxa"/>
            </w:tcMar>
            <w:vAlign w:val="bottom"/>
          </w:tcPr>
          <w:p w:rsidR="00F6162A" w:rsidRDefault="00531E4E">
            <w:pPr>
              <w:jc w:val="both"/>
            </w:pPr>
            <w:r>
              <w:rPr>
                <w:rFonts w:ascii="Arial" w:eastAsia="Arial" w:hAnsi="Arial" w:cs="Arial"/>
                <w:b/>
                <w:sz w:val="20"/>
                <w:szCs w:val="20"/>
                <w:highlight w:val="yellow"/>
              </w:rPr>
              <w:t>Silaje de maíz</w:t>
            </w:r>
          </w:p>
        </w:tc>
        <w:tc>
          <w:tcPr>
            <w:tcW w:w="101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33 - 38</w:t>
            </w:r>
          </w:p>
        </w:tc>
        <w:tc>
          <w:tcPr>
            <w:tcW w:w="118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20 - 30</w:t>
            </w:r>
          </w:p>
        </w:tc>
        <w:tc>
          <w:tcPr>
            <w:tcW w:w="100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6 - 9</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18 - 28</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35 - 50</w:t>
            </w:r>
          </w:p>
        </w:tc>
        <w:tc>
          <w:tcPr>
            <w:tcW w:w="98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5 - 7</w:t>
            </w:r>
          </w:p>
        </w:tc>
        <w:tc>
          <w:tcPr>
            <w:tcW w:w="912"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3,8 - 4,2</w:t>
            </w:r>
          </w:p>
        </w:tc>
      </w:tr>
      <w:tr w:rsidR="00F6162A">
        <w:tblPrEx>
          <w:tblCellMar>
            <w:top w:w="0" w:type="dxa"/>
            <w:left w:w="0" w:type="dxa"/>
            <w:bottom w:w="0" w:type="dxa"/>
            <w:right w:w="0" w:type="dxa"/>
          </w:tblCellMar>
        </w:tblPrEx>
        <w:tc>
          <w:tcPr>
            <w:tcW w:w="1615" w:type="dxa"/>
            <w:tcBorders>
              <w:left w:val="nil"/>
              <w:bottom w:val="nil"/>
              <w:right w:val="nil"/>
            </w:tcBorders>
            <w:shd w:val="clear" w:color="auto" w:fill="FFFF00"/>
            <w:tcMar>
              <w:top w:w="40" w:type="dxa"/>
              <w:left w:w="40" w:type="dxa"/>
              <w:bottom w:w="40" w:type="dxa"/>
              <w:right w:w="40" w:type="dxa"/>
            </w:tcMar>
            <w:vAlign w:val="bottom"/>
          </w:tcPr>
          <w:p w:rsidR="00F6162A" w:rsidRDefault="00531E4E">
            <w:pPr>
              <w:jc w:val="both"/>
            </w:pPr>
            <w:r>
              <w:rPr>
                <w:rFonts w:ascii="Arial" w:eastAsia="Arial" w:hAnsi="Arial" w:cs="Arial"/>
                <w:b/>
                <w:sz w:val="20"/>
                <w:szCs w:val="20"/>
                <w:highlight w:val="yellow"/>
              </w:rPr>
              <w:t xml:space="preserve">Silaje de sorgo </w:t>
            </w:r>
            <w:proofErr w:type="spellStart"/>
            <w:r>
              <w:rPr>
                <w:rFonts w:ascii="Arial" w:eastAsia="Arial" w:hAnsi="Arial" w:cs="Arial"/>
                <w:b/>
                <w:sz w:val="20"/>
                <w:szCs w:val="20"/>
                <w:highlight w:val="yellow"/>
              </w:rPr>
              <w:t>granífero</w:t>
            </w:r>
            <w:proofErr w:type="spellEnd"/>
          </w:p>
        </w:tc>
        <w:tc>
          <w:tcPr>
            <w:tcW w:w="101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33 - 38</w:t>
            </w:r>
          </w:p>
        </w:tc>
        <w:tc>
          <w:tcPr>
            <w:tcW w:w="118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18 - 28</w:t>
            </w:r>
          </w:p>
        </w:tc>
        <w:tc>
          <w:tcPr>
            <w:tcW w:w="100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7 - 10</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21 - 35</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38 - 55</w:t>
            </w:r>
          </w:p>
        </w:tc>
        <w:tc>
          <w:tcPr>
            <w:tcW w:w="98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6 - 8</w:t>
            </w:r>
          </w:p>
        </w:tc>
        <w:tc>
          <w:tcPr>
            <w:tcW w:w="912"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3,8 - 4,2</w:t>
            </w:r>
          </w:p>
        </w:tc>
      </w:tr>
      <w:tr w:rsidR="00F6162A">
        <w:tblPrEx>
          <w:tblCellMar>
            <w:top w:w="0" w:type="dxa"/>
            <w:left w:w="0" w:type="dxa"/>
            <w:bottom w:w="0" w:type="dxa"/>
            <w:right w:w="0" w:type="dxa"/>
          </w:tblCellMar>
        </w:tblPrEx>
        <w:tc>
          <w:tcPr>
            <w:tcW w:w="1615" w:type="dxa"/>
            <w:tcBorders>
              <w:left w:val="nil"/>
              <w:bottom w:val="nil"/>
              <w:right w:val="nil"/>
            </w:tcBorders>
            <w:shd w:val="clear" w:color="auto" w:fill="FFFF00"/>
            <w:tcMar>
              <w:top w:w="40" w:type="dxa"/>
              <w:left w:w="40" w:type="dxa"/>
              <w:bottom w:w="40" w:type="dxa"/>
              <w:right w:w="40" w:type="dxa"/>
            </w:tcMar>
            <w:vAlign w:val="bottom"/>
          </w:tcPr>
          <w:p w:rsidR="00F6162A" w:rsidRDefault="00531E4E">
            <w:pPr>
              <w:jc w:val="both"/>
            </w:pPr>
            <w:r>
              <w:rPr>
                <w:rFonts w:ascii="Arial" w:eastAsia="Arial" w:hAnsi="Arial" w:cs="Arial"/>
                <w:b/>
                <w:sz w:val="20"/>
                <w:szCs w:val="20"/>
                <w:highlight w:val="yellow"/>
              </w:rPr>
              <w:t>Silaje de alfalfa</w:t>
            </w:r>
          </w:p>
        </w:tc>
        <w:tc>
          <w:tcPr>
            <w:tcW w:w="101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36 - 45</w:t>
            </w:r>
          </w:p>
        </w:tc>
        <w:tc>
          <w:tcPr>
            <w:tcW w:w="118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w:t>
            </w:r>
          </w:p>
        </w:tc>
        <w:tc>
          <w:tcPr>
            <w:tcW w:w="100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18 - 24</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20 - 26</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35 - 45</w:t>
            </w:r>
          </w:p>
        </w:tc>
        <w:tc>
          <w:tcPr>
            <w:tcW w:w="98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7 - 8</w:t>
            </w:r>
          </w:p>
        </w:tc>
        <w:tc>
          <w:tcPr>
            <w:tcW w:w="912"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4 - 4,4</w:t>
            </w:r>
          </w:p>
        </w:tc>
      </w:tr>
      <w:tr w:rsidR="00F6162A">
        <w:tblPrEx>
          <w:tblCellMar>
            <w:top w:w="0" w:type="dxa"/>
            <w:left w:w="0" w:type="dxa"/>
            <w:bottom w:w="0" w:type="dxa"/>
            <w:right w:w="0" w:type="dxa"/>
          </w:tblCellMar>
        </w:tblPrEx>
        <w:tc>
          <w:tcPr>
            <w:tcW w:w="1615" w:type="dxa"/>
            <w:tcBorders>
              <w:left w:val="nil"/>
              <w:bottom w:val="nil"/>
              <w:right w:val="nil"/>
            </w:tcBorders>
            <w:shd w:val="clear" w:color="auto" w:fill="FFFF00"/>
            <w:tcMar>
              <w:top w:w="40" w:type="dxa"/>
              <w:left w:w="40" w:type="dxa"/>
              <w:bottom w:w="40" w:type="dxa"/>
              <w:right w:w="40" w:type="dxa"/>
            </w:tcMar>
            <w:vAlign w:val="bottom"/>
          </w:tcPr>
          <w:p w:rsidR="00F6162A" w:rsidRDefault="00531E4E">
            <w:pPr>
              <w:jc w:val="both"/>
            </w:pPr>
            <w:r>
              <w:rPr>
                <w:rFonts w:ascii="Arial" w:eastAsia="Arial" w:hAnsi="Arial" w:cs="Arial"/>
                <w:b/>
                <w:sz w:val="20"/>
                <w:szCs w:val="20"/>
                <w:highlight w:val="yellow"/>
              </w:rPr>
              <w:t>Silaje de cebada</w:t>
            </w:r>
          </w:p>
        </w:tc>
        <w:tc>
          <w:tcPr>
            <w:tcW w:w="101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35 - 40</w:t>
            </w:r>
          </w:p>
        </w:tc>
        <w:tc>
          <w:tcPr>
            <w:tcW w:w="118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14 - 18</w:t>
            </w:r>
          </w:p>
        </w:tc>
        <w:tc>
          <w:tcPr>
            <w:tcW w:w="100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8 -10</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25 - 35</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35 - 50</w:t>
            </w:r>
          </w:p>
        </w:tc>
        <w:tc>
          <w:tcPr>
            <w:tcW w:w="98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7 - 9</w:t>
            </w:r>
          </w:p>
        </w:tc>
        <w:tc>
          <w:tcPr>
            <w:tcW w:w="912"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3.9 - 4.3</w:t>
            </w:r>
          </w:p>
        </w:tc>
      </w:tr>
      <w:tr w:rsidR="00F6162A">
        <w:tblPrEx>
          <w:tblCellMar>
            <w:top w:w="0" w:type="dxa"/>
            <w:left w:w="0" w:type="dxa"/>
            <w:bottom w:w="0" w:type="dxa"/>
            <w:right w:w="0" w:type="dxa"/>
          </w:tblCellMar>
        </w:tblPrEx>
        <w:tc>
          <w:tcPr>
            <w:tcW w:w="1615" w:type="dxa"/>
            <w:tcBorders>
              <w:left w:val="nil"/>
              <w:bottom w:val="nil"/>
              <w:right w:val="nil"/>
            </w:tcBorders>
            <w:shd w:val="clear" w:color="auto" w:fill="FFFF00"/>
            <w:tcMar>
              <w:top w:w="40" w:type="dxa"/>
              <w:left w:w="40" w:type="dxa"/>
              <w:bottom w:w="40" w:type="dxa"/>
              <w:right w:w="40" w:type="dxa"/>
            </w:tcMar>
            <w:vAlign w:val="bottom"/>
          </w:tcPr>
          <w:p w:rsidR="00F6162A" w:rsidRDefault="00531E4E">
            <w:pPr>
              <w:jc w:val="both"/>
            </w:pPr>
            <w:r>
              <w:rPr>
                <w:rFonts w:ascii="Arial" w:eastAsia="Arial" w:hAnsi="Arial" w:cs="Arial"/>
                <w:b/>
                <w:sz w:val="20"/>
                <w:szCs w:val="20"/>
                <w:highlight w:val="yellow"/>
              </w:rPr>
              <w:t>Heno de alfalfa</w:t>
            </w:r>
          </w:p>
        </w:tc>
        <w:tc>
          <w:tcPr>
            <w:tcW w:w="101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85 - 88</w:t>
            </w:r>
          </w:p>
        </w:tc>
        <w:tc>
          <w:tcPr>
            <w:tcW w:w="118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w:t>
            </w:r>
          </w:p>
        </w:tc>
        <w:tc>
          <w:tcPr>
            <w:tcW w:w="100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18 - 22</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27 - 32</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34 - 40</w:t>
            </w:r>
          </w:p>
        </w:tc>
        <w:tc>
          <w:tcPr>
            <w:tcW w:w="98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6 - 8</w:t>
            </w:r>
          </w:p>
        </w:tc>
        <w:tc>
          <w:tcPr>
            <w:tcW w:w="912"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w:t>
            </w:r>
          </w:p>
        </w:tc>
      </w:tr>
      <w:tr w:rsidR="00F6162A">
        <w:tblPrEx>
          <w:tblCellMar>
            <w:top w:w="0" w:type="dxa"/>
            <w:left w:w="0" w:type="dxa"/>
            <w:bottom w:w="0" w:type="dxa"/>
            <w:right w:w="0" w:type="dxa"/>
          </w:tblCellMar>
        </w:tblPrEx>
        <w:tc>
          <w:tcPr>
            <w:tcW w:w="1615" w:type="dxa"/>
            <w:tcBorders>
              <w:left w:val="nil"/>
              <w:bottom w:val="nil"/>
              <w:right w:val="nil"/>
            </w:tcBorders>
            <w:shd w:val="clear" w:color="auto" w:fill="FFFF00"/>
            <w:tcMar>
              <w:top w:w="40" w:type="dxa"/>
              <w:left w:w="40" w:type="dxa"/>
              <w:bottom w:w="40" w:type="dxa"/>
              <w:right w:w="40" w:type="dxa"/>
            </w:tcMar>
            <w:vAlign w:val="bottom"/>
          </w:tcPr>
          <w:p w:rsidR="00F6162A" w:rsidRDefault="00531E4E">
            <w:pPr>
              <w:jc w:val="both"/>
            </w:pPr>
            <w:r>
              <w:rPr>
                <w:rFonts w:ascii="Arial" w:eastAsia="Arial" w:hAnsi="Arial" w:cs="Arial"/>
                <w:b/>
                <w:sz w:val="20"/>
                <w:szCs w:val="20"/>
                <w:highlight w:val="yellow"/>
              </w:rPr>
              <w:lastRenderedPageBreak/>
              <w:t>Earlage</w:t>
            </w:r>
          </w:p>
        </w:tc>
        <w:tc>
          <w:tcPr>
            <w:tcW w:w="101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55 - 65</w:t>
            </w:r>
          </w:p>
        </w:tc>
        <w:tc>
          <w:tcPr>
            <w:tcW w:w="118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50 - 60</w:t>
            </w:r>
          </w:p>
        </w:tc>
        <w:tc>
          <w:tcPr>
            <w:tcW w:w="100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7 - 10</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7 - 14</w:t>
            </w:r>
          </w:p>
        </w:tc>
        <w:tc>
          <w:tcPr>
            <w:tcW w:w="1061"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18 - 26</w:t>
            </w:r>
          </w:p>
        </w:tc>
        <w:tc>
          <w:tcPr>
            <w:tcW w:w="986"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2 - 3</w:t>
            </w:r>
          </w:p>
        </w:tc>
        <w:tc>
          <w:tcPr>
            <w:tcW w:w="912" w:type="dxa"/>
            <w:tcBorders>
              <w:bottom w:val="nil"/>
              <w:right w:val="nil"/>
            </w:tcBorders>
            <w:tcMar>
              <w:top w:w="40" w:type="dxa"/>
              <w:left w:w="40" w:type="dxa"/>
              <w:bottom w:w="40" w:type="dxa"/>
              <w:right w:w="40" w:type="dxa"/>
            </w:tcMar>
            <w:vAlign w:val="bottom"/>
          </w:tcPr>
          <w:p w:rsidR="00F6162A" w:rsidRDefault="00531E4E">
            <w:pPr>
              <w:jc w:val="center"/>
            </w:pPr>
            <w:r>
              <w:rPr>
                <w:rFonts w:ascii="Arial" w:eastAsia="Arial" w:hAnsi="Arial" w:cs="Arial"/>
                <w:sz w:val="20"/>
                <w:szCs w:val="20"/>
              </w:rPr>
              <w:t>3,9 - 4,3</w:t>
            </w:r>
          </w:p>
        </w:tc>
      </w:tr>
    </w:tbl>
    <w:p w:rsidR="00F6162A" w:rsidRDefault="00F6162A">
      <w:pPr>
        <w:jc w:val="both"/>
      </w:pPr>
      <w:bookmarkStart w:id="13" w:name="_t0dby68fn6qq" w:colFirst="0" w:colLast="0"/>
      <w:bookmarkEnd w:id="13"/>
    </w:p>
    <w:sectPr w:rsidR="00F6162A">
      <w:headerReference w:type="default" r:id="rId6"/>
      <w:footerReference w:type="default" r:id="rId7"/>
      <w:pgSz w:w="12240" w:h="15840"/>
      <w:pgMar w:top="1417" w:right="1701" w:bottom="1417"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1E4E" w:rsidRDefault="00531E4E">
      <w:pPr>
        <w:spacing w:after="0" w:line="240" w:lineRule="auto"/>
      </w:pPr>
      <w:r>
        <w:separator/>
      </w:r>
    </w:p>
  </w:endnote>
  <w:endnote w:type="continuationSeparator" w:id="0">
    <w:p w:rsidR="00531E4E" w:rsidRDefault="00531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62A" w:rsidRDefault="00F616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1E4E" w:rsidRDefault="00531E4E">
      <w:pPr>
        <w:spacing w:after="0" w:line="240" w:lineRule="auto"/>
      </w:pPr>
      <w:r>
        <w:separator/>
      </w:r>
    </w:p>
  </w:footnote>
  <w:footnote w:type="continuationSeparator" w:id="0">
    <w:p w:rsidR="00531E4E" w:rsidRDefault="00531E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62A" w:rsidRDefault="00F6162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F6162A"/>
    <w:rsid w:val="00531E4E"/>
    <w:rsid w:val="00A57A7E"/>
    <w:rsid w:val="00F616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6191C5-7E65-47E1-B9E0-A1D0D5663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contextualSpacing/>
      <w:outlineLvl w:val="0"/>
    </w:pPr>
    <w:rPr>
      <w:b/>
      <w:sz w:val="48"/>
      <w:szCs w:val="48"/>
    </w:rPr>
  </w:style>
  <w:style w:type="paragraph" w:styleId="Ttulo2">
    <w:name w:val="heading 2"/>
    <w:basedOn w:val="Normal"/>
    <w:next w:val="Normal"/>
    <w:pPr>
      <w:keepNext/>
      <w:keepLines/>
      <w:spacing w:before="360" w:after="80"/>
      <w:contextualSpacing/>
      <w:outlineLvl w:val="1"/>
    </w:pPr>
    <w:rPr>
      <w:b/>
      <w:sz w:val="36"/>
      <w:szCs w:val="36"/>
    </w:rPr>
  </w:style>
  <w:style w:type="paragraph" w:styleId="Ttulo3">
    <w:name w:val="heading 3"/>
    <w:basedOn w:val="Normal"/>
    <w:next w:val="Normal"/>
    <w:pPr>
      <w:keepNext/>
      <w:keepLines/>
      <w:spacing w:before="280" w:after="80"/>
      <w:contextualSpacing/>
      <w:outlineLvl w:val="2"/>
    </w:pPr>
    <w:rPr>
      <w:b/>
      <w:sz w:val="28"/>
      <w:szCs w:val="28"/>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1928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Opacak</cp:lastModifiedBy>
  <cp:revision>2</cp:revision>
  <dcterms:created xsi:type="dcterms:W3CDTF">2017-01-05T20:01:00Z</dcterms:created>
  <dcterms:modified xsi:type="dcterms:W3CDTF">2017-01-05T20:01:00Z</dcterms:modified>
</cp:coreProperties>
</file>