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BAC0" w14:textId="63497FDE" w:rsidR="007E4BEC" w:rsidRDefault="00B01764" w:rsidP="226E99ED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226E99ED">
        <w:rPr>
          <w:rFonts w:ascii="Gill Sans MT" w:eastAsia="Gill Sans MT" w:hAnsi="Gill Sans MT" w:cs="Gill Sans MT"/>
          <w:b/>
          <w:bCs/>
          <w:sz w:val="28"/>
          <w:szCs w:val="28"/>
        </w:rPr>
        <w:t>Entity &amp; Referential Integrity</w:t>
      </w:r>
    </w:p>
    <w:p w14:paraId="15BB4FCD" w14:textId="4DF13161" w:rsidR="00B01764" w:rsidRDefault="00B01764" w:rsidP="226E99ED">
      <w:pPr>
        <w:rPr>
          <w:rFonts w:ascii="Gill Sans MT" w:eastAsia="Gill Sans MT" w:hAnsi="Gill Sans MT" w:cs="Gill Sans MT"/>
          <w:b/>
          <w:bCs/>
        </w:rPr>
      </w:pPr>
    </w:p>
    <w:p w14:paraId="3D47F88A" w14:textId="6EC394A1" w:rsidR="05865A9A" w:rsidRDefault="05865A9A" w:rsidP="226E99E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226E99ED">
        <w:rPr>
          <w:rFonts w:ascii="Gill Sans MT" w:eastAsia="Gill Sans MT" w:hAnsi="Gill Sans MT" w:cs="Gill Sans MT"/>
          <w:b/>
          <w:bCs/>
          <w:sz w:val="24"/>
          <w:szCs w:val="24"/>
        </w:rPr>
        <w:t>Learning goal: gain an understanding of entity and referential integrity.</w:t>
      </w:r>
    </w:p>
    <w:p w14:paraId="5FDEA5AE" w14:textId="3A3E0756" w:rsidR="226E99ED" w:rsidRDefault="226E99ED" w:rsidP="226E99E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</w:p>
    <w:p w14:paraId="39004223" w14:textId="06CE1A17" w:rsidR="00B01764" w:rsidRPr="00B01764" w:rsidRDefault="00B01764" w:rsidP="226E99ED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226E99ED">
        <w:rPr>
          <w:rFonts w:ascii="Gill Sans MT" w:eastAsia="Gill Sans MT" w:hAnsi="Gill Sans MT" w:cs="Gill Sans MT"/>
          <w:b/>
          <w:bCs/>
          <w:sz w:val="24"/>
          <w:szCs w:val="24"/>
        </w:rPr>
        <w:t>Fill in the blanks using words from the table below.</w:t>
      </w:r>
    </w:p>
    <w:p w14:paraId="0F56F2B0" w14:textId="7B8B927B" w:rsidR="007E4BEC" w:rsidRDefault="007E4BEC" w:rsidP="226E99ED">
      <w:pPr>
        <w:rPr>
          <w:rFonts w:ascii="Gill Sans MT" w:eastAsia="Gill Sans MT" w:hAnsi="Gill Sans MT" w:cs="Gill Sans MT"/>
        </w:rPr>
      </w:pPr>
    </w:p>
    <w:p w14:paraId="1E8B6F8E" w14:textId="27D20CDF" w:rsidR="00B9797F" w:rsidRPr="00B9797F" w:rsidRDefault="006E1544" w:rsidP="226E99ED">
      <w:pPr>
        <w:rPr>
          <w:rFonts w:ascii="Gill Sans MT" w:eastAsia="Gill Sans MT" w:hAnsi="Gill Sans MT" w:cs="Gill Sans MT"/>
        </w:rPr>
      </w:pPr>
      <w:r w:rsidRPr="226E99ED">
        <w:rPr>
          <w:rStyle w:val="Strong"/>
          <w:rFonts w:ascii="Gill Sans MT" w:eastAsia="Gill Sans MT" w:hAnsi="Gill Sans MT" w:cs="Gill Sans MT"/>
          <w:color w:val="767676"/>
          <w:shd w:val="clear" w:color="auto" w:fill="FFFFFF"/>
        </w:rPr>
        <w:t xml:space="preserve">Entity </w:t>
      </w:r>
      <w:r w:rsidR="00B9797F" w:rsidRPr="226E99ED">
        <w:rPr>
          <w:rStyle w:val="Strong"/>
          <w:rFonts w:ascii="Gill Sans MT" w:eastAsia="Gill Sans MT" w:hAnsi="Gill Sans MT" w:cs="Gill Sans MT"/>
          <w:color w:val="767676"/>
          <w:shd w:val="clear" w:color="auto" w:fill="FFFFFF"/>
        </w:rPr>
        <w:t>integrity</w:t>
      </w:r>
      <w:r w:rsidR="00B9797F" w:rsidRPr="226E99ED">
        <w:rPr>
          <w:rFonts w:ascii="Gill Sans MT" w:eastAsia="Gill Sans MT" w:hAnsi="Gill Sans MT" w:cs="Gill Sans MT"/>
          <w:color w:val="666666"/>
          <w:shd w:val="clear" w:color="auto" w:fill="FFFFFF"/>
        </w:rPr>
        <w:t> and referential</w:t>
      </w:r>
      <w:r w:rsidR="00B9797F" w:rsidRPr="226E99ED">
        <w:rPr>
          <w:rStyle w:val="Strong"/>
          <w:rFonts w:ascii="Gill Sans MT" w:eastAsia="Gill Sans MT" w:hAnsi="Gill Sans MT" w:cs="Gill Sans MT"/>
          <w:color w:val="767676"/>
          <w:shd w:val="clear" w:color="auto" w:fill="FFFFFF"/>
        </w:rPr>
        <w:t> integrity</w:t>
      </w:r>
      <w:r w:rsidR="00B9797F" w:rsidRPr="226E99ED">
        <w:rPr>
          <w:rFonts w:ascii="Gill Sans MT" w:eastAsia="Gill Sans MT" w:hAnsi="Gill Sans MT" w:cs="Gill Sans MT"/>
          <w:color w:val="666666"/>
          <w:shd w:val="clear" w:color="auto" w:fill="FFFFFF"/>
        </w:rPr>
        <w:t> are two forms of data</w:t>
      </w:r>
      <w:r w:rsidR="00B9797F" w:rsidRPr="226E99ED">
        <w:rPr>
          <w:rStyle w:val="Strong"/>
          <w:rFonts w:ascii="Gill Sans MT" w:eastAsia="Gill Sans MT" w:hAnsi="Gill Sans MT" w:cs="Gill Sans MT"/>
          <w:color w:val="767676"/>
          <w:shd w:val="clear" w:color="auto" w:fill="FFFFFF"/>
        </w:rPr>
        <w:t> integrity</w:t>
      </w:r>
      <w:r w:rsidR="00B9797F" w:rsidRPr="226E99ED">
        <w:rPr>
          <w:rFonts w:ascii="Gill Sans MT" w:eastAsia="Gill Sans MT" w:hAnsi="Gill Sans MT" w:cs="Gill Sans MT"/>
          <w:color w:val="666666"/>
          <w:shd w:val="clear" w:color="auto" w:fill="FFFFFF"/>
        </w:rPr>
        <w:t> that are particularly important in relational databases.</w:t>
      </w:r>
    </w:p>
    <w:p w14:paraId="7C2124BD" w14:textId="77777777" w:rsidR="00B9797F" w:rsidRDefault="00B9797F" w:rsidP="226E99ED">
      <w:pPr>
        <w:rPr>
          <w:rFonts w:ascii="Gill Sans MT" w:eastAsia="Gill Sans MT" w:hAnsi="Gill Sans MT" w:cs="Gill Sans MT"/>
          <w:color w:val="111111"/>
          <w:shd w:val="clear" w:color="auto" w:fill="FFFFFF"/>
        </w:rPr>
      </w:pPr>
    </w:p>
    <w:p w14:paraId="569E97D6" w14:textId="62F8B6A0" w:rsidR="00B23977" w:rsidRPr="00B23977" w:rsidRDefault="00B23977" w:rsidP="226E99ED">
      <w:pPr>
        <w:rPr>
          <w:rFonts w:ascii="Gill Sans MT" w:eastAsia="Gill Sans MT" w:hAnsi="Gill Sans MT" w:cs="Gill Sans MT"/>
          <w:b/>
          <w:bCs/>
        </w:rPr>
      </w:pPr>
      <w:r w:rsidRPr="226E99ED">
        <w:rPr>
          <w:rFonts w:ascii="Gill Sans MT" w:eastAsia="Gill Sans MT" w:hAnsi="Gill Sans MT" w:cs="Gill Sans MT"/>
          <w:color w:val="111111"/>
          <w:shd w:val="clear" w:color="auto" w:fill="FFFFFF"/>
        </w:rPr>
        <w:t>Entity integrity is concerned with</w:t>
      </w:r>
      <w:r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 </w:t>
      </w:r>
      <w:r w:rsidRPr="226E99ED">
        <w:rPr>
          <w:rStyle w:val="Strong"/>
          <w:rFonts w:ascii="Gill Sans MT" w:eastAsia="Gill Sans MT" w:hAnsi="Gill Sans MT" w:cs="Gill Sans MT"/>
          <w:b w:val="0"/>
          <w:bCs w:val="0"/>
          <w:color w:val="111111"/>
          <w:shd w:val="clear" w:color="auto" w:fill="FFFFFF"/>
        </w:rPr>
        <w:t>ensuring that each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 </w:t>
      </w:r>
      <w:r w:rsidR="00E92E43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_</w:t>
      </w:r>
      <w:r w:rsidR="00E92E43" w:rsidRPr="00E92E43">
        <w:rPr>
          <w:rStyle w:val="Strong"/>
          <w:rFonts w:ascii="Gill Sans MT" w:eastAsia="Gill Sans MT" w:hAnsi="Gill Sans MT" w:cs="Gill Sans MT"/>
          <w:color w:val="111111"/>
        </w:rPr>
        <w:t>row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_  </w:t>
      </w:r>
      <w:r w:rsidRPr="226E99ED">
        <w:rPr>
          <w:rStyle w:val="Strong"/>
          <w:rFonts w:ascii="Gill Sans MT" w:eastAsia="Gill Sans MT" w:hAnsi="Gill Sans MT" w:cs="Gill Sans MT"/>
          <w:b w:val="0"/>
          <w:bCs w:val="0"/>
          <w:color w:val="111111"/>
          <w:shd w:val="clear" w:color="auto" w:fill="FFFFFF"/>
        </w:rPr>
        <w:t>of a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 _</w:t>
      </w:r>
      <w:r w:rsidR="00E92E43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table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_  </w:t>
      </w:r>
      <w:r w:rsidRPr="226E99ED">
        <w:rPr>
          <w:rStyle w:val="Strong"/>
          <w:rFonts w:ascii="Gill Sans MT" w:eastAsia="Gill Sans MT" w:hAnsi="Gill Sans MT" w:cs="Gill Sans MT"/>
          <w:b w:val="0"/>
          <w:bCs w:val="0"/>
          <w:color w:val="111111"/>
          <w:shd w:val="clear" w:color="auto" w:fill="FFFFFF"/>
        </w:rPr>
        <w:t>has a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 _</w:t>
      </w:r>
      <w:r w:rsidR="00E92E43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unique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_  </w:t>
      </w:r>
      <w:r w:rsidRPr="226E99ED">
        <w:rPr>
          <w:rStyle w:val="Strong"/>
          <w:rFonts w:ascii="Gill Sans MT" w:eastAsia="Gill Sans MT" w:hAnsi="Gill Sans MT" w:cs="Gill Sans MT"/>
          <w:b w:val="0"/>
          <w:bCs w:val="0"/>
          <w:color w:val="111111"/>
          <w:shd w:val="clear" w:color="auto" w:fill="FFFFFF"/>
        </w:rPr>
        <w:t xml:space="preserve">and 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_</w:t>
      </w:r>
      <w:r w:rsidR="00E92E43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non-null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_   </w:t>
      </w:r>
      <w:r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 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_</w:t>
      </w:r>
      <w:r w:rsidR="00E92E43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primary key</w:t>
      </w:r>
      <w:r w:rsidR="006E1544"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>_</w:t>
      </w:r>
      <w:r w:rsidRPr="226E99ED">
        <w:rPr>
          <w:rStyle w:val="Strong"/>
          <w:rFonts w:ascii="Gill Sans MT" w:eastAsia="Gill Sans MT" w:hAnsi="Gill Sans MT" w:cs="Gill Sans MT"/>
          <w:color w:val="111111"/>
          <w:shd w:val="clear" w:color="auto" w:fill="FFFFFF"/>
        </w:rPr>
        <w:t xml:space="preserve"> </w:t>
      </w:r>
      <w:r w:rsidRPr="226E99ED">
        <w:rPr>
          <w:rStyle w:val="Strong"/>
          <w:rFonts w:ascii="Gill Sans MT" w:eastAsia="Gill Sans MT" w:hAnsi="Gill Sans MT" w:cs="Gill Sans MT"/>
          <w:b w:val="0"/>
          <w:bCs w:val="0"/>
          <w:color w:val="111111"/>
          <w:shd w:val="clear" w:color="auto" w:fill="FFFFFF"/>
        </w:rPr>
        <w:t>value.</w:t>
      </w:r>
    </w:p>
    <w:p w14:paraId="5EE9F69F" w14:textId="77777777" w:rsidR="00D96F0D" w:rsidRPr="00B23977" w:rsidRDefault="00D96F0D" w:rsidP="226E99ED">
      <w:pPr>
        <w:rPr>
          <w:rFonts w:ascii="Gill Sans MT" w:eastAsia="Gill Sans MT" w:hAnsi="Gill Sans MT" w:cs="Gill Sans MT"/>
        </w:rPr>
      </w:pPr>
    </w:p>
    <w:p w14:paraId="34C2B8D6" w14:textId="2F5E4B08" w:rsidR="00E34CFE" w:rsidRPr="00E34CFE" w:rsidRDefault="007E4BEC" w:rsidP="226E99ED">
      <w:pPr>
        <w:pStyle w:val="NormalWeb"/>
        <w:shd w:val="clear" w:color="auto" w:fill="FFFFFF" w:themeFill="background1"/>
        <w:spacing w:before="0" w:beforeAutospacing="0" w:line="360" w:lineRule="auto"/>
        <w:rPr>
          <w:rFonts w:ascii="Gill Sans MT" w:eastAsia="Gill Sans MT" w:hAnsi="Gill Sans MT" w:cs="Gill Sans MT"/>
          <w:color w:val="424242"/>
          <w:sz w:val="22"/>
          <w:szCs w:val="22"/>
        </w:rPr>
      </w:pP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In Relational Database Management Systems (RDBMS) referential integrity can be enforced by working with 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primary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and 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foreign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keys. Each 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foreign key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must have a </w:t>
      </w:r>
      <w:r w:rsidR="00E0305B" w:rsidRPr="226E99ED">
        <w:rPr>
          <w:rFonts w:ascii="Gill Sans MT" w:eastAsia="Gill Sans MT" w:hAnsi="Gill Sans MT" w:cs="Gill Sans MT"/>
          <w:color w:val="424242"/>
          <w:sz w:val="22"/>
          <w:szCs w:val="22"/>
        </w:rPr>
        <w:t>corresponding</w:t>
      </w: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primary key</w:t>
      </w:r>
      <w:r w:rsidR="006E1544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381D6C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 xml:space="preserve"> </w:t>
      </w:r>
      <w:r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so that reference from one table to another must always be valid.</w:t>
      </w:r>
      <w:r w:rsidR="00D96F0D"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 w:rsidRP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 xml:space="preserve"> </w:t>
      </w:r>
      <w:r w:rsidR="00AF3ECD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Referential integrity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36389F"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ensures that 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relationships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 xml:space="preserve">_  </w:t>
      </w:r>
      <w:r w:rsidR="0036389F"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between 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tables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36389F" w:rsidRPr="226E99ED">
        <w:rPr>
          <w:rFonts w:ascii="Gill Sans MT" w:eastAsia="Gill Sans MT" w:hAnsi="Gill Sans MT" w:cs="Gill Sans MT"/>
          <w:color w:val="424242"/>
          <w:sz w:val="22"/>
          <w:szCs w:val="22"/>
        </w:rPr>
        <w:t xml:space="preserve"> remains 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AF3EC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consistent</w:t>
      </w:r>
      <w:r w:rsidR="00E0305B" w:rsidRPr="226E99ED">
        <w:rPr>
          <w:rFonts w:ascii="Gill Sans MT" w:eastAsia="Gill Sans MT" w:hAnsi="Gill Sans MT" w:cs="Gill Sans MT"/>
          <w:b/>
          <w:bCs/>
          <w:color w:val="424242"/>
          <w:sz w:val="22"/>
          <w:szCs w:val="22"/>
        </w:rPr>
        <w:t>_</w:t>
      </w:r>
      <w:r w:rsidR="00E34CFE" w:rsidRPr="226E99ED">
        <w:rPr>
          <w:rFonts w:ascii="Gill Sans MT" w:eastAsia="Gill Sans MT" w:hAnsi="Gill Sans MT" w:cs="Gill Sans MT"/>
          <w:color w:val="424242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4CFE" w14:paraId="4AFEF562" w14:textId="77777777" w:rsidTr="226E99ED">
        <w:tc>
          <w:tcPr>
            <w:tcW w:w="1803" w:type="dxa"/>
          </w:tcPr>
          <w:p w14:paraId="66FD668D" w14:textId="41E0E357" w:rsidR="00E34CFE" w:rsidRPr="00AF3ECD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primary key</w:t>
            </w:r>
          </w:p>
        </w:tc>
        <w:tc>
          <w:tcPr>
            <w:tcW w:w="1803" w:type="dxa"/>
          </w:tcPr>
          <w:p w14:paraId="22542397" w14:textId="42BD1A8A" w:rsidR="00E34CFE" w:rsidRPr="00A62EC6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62EC6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tables</w:t>
            </w:r>
          </w:p>
        </w:tc>
        <w:tc>
          <w:tcPr>
            <w:tcW w:w="1803" w:type="dxa"/>
          </w:tcPr>
          <w:p w14:paraId="10E60EB5" w14:textId="746C8B6F" w:rsidR="00E34CFE" w:rsidRPr="00AF3ECD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consistent</w:t>
            </w:r>
          </w:p>
        </w:tc>
        <w:tc>
          <w:tcPr>
            <w:tcW w:w="1803" w:type="dxa"/>
          </w:tcPr>
          <w:p w14:paraId="64CEE7BB" w14:textId="01BEA22F" w:rsidR="00E34CFE" w:rsidRPr="00AF3ECD" w:rsidRDefault="00E34CFE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non-null</w:t>
            </w:r>
          </w:p>
        </w:tc>
        <w:tc>
          <w:tcPr>
            <w:tcW w:w="1804" w:type="dxa"/>
          </w:tcPr>
          <w:p w14:paraId="709CD0B0" w14:textId="62E9DDAD" w:rsidR="00E34CFE" w:rsidRPr="00AF3ECD" w:rsidRDefault="00E34CFE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primary key</w:t>
            </w:r>
          </w:p>
        </w:tc>
      </w:tr>
      <w:tr w:rsidR="00F50498" w14:paraId="72E5D33D" w14:textId="77777777" w:rsidTr="226E99ED">
        <w:tc>
          <w:tcPr>
            <w:tcW w:w="1803" w:type="dxa"/>
          </w:tcPr>
          <w:p w14:paraId="32189DC6" w14:textId="23743022" w:rsidR="00F50498" w:rsidRPr="00AF3ECD" w:rsidRDefault="00F50498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primary</w:t>
            </w:r>
          </w:p>
        </w:tc>
        <w:tc>
          <w:tcPr>
            <w:tcW w:w="1803" w:type="dxa"/>
          </w:tcPr>
          <w:p w14:paraId="7569815B" w14:textId="11755AA5" w:rsidR="00F50498" w:rsidRPr="00AF3ECD" w:rsidRDefault="00F50498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foreign</w:t>
            </w:r>
          </w:p>
        </w:tc>
        <w:tc>
          <w:tcPr>
            <w:tcW w:w="1803" w:type="dxa"/>
          </w:tcPr>
          <w:p w14:paraId="6B946463" w14:textId="123DD609" w:rsidR="00F50498" w:rsidRPr="00AF3ECD" w:rsidRDefault="00F50498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foreign key</w:t>
            </w:r>
          </w:p>
        </w:tc>
        <w:tc>
          <w:tcPr>
            <w:tcW w:w="3607" w:type="dxa"/>
            <w:gridSpan w:val="2"/>
          </w:tcPr>
          <w:p w14:paraId="32CCB919" w14:textId="45E317A7" w:rsidR="00F50498" w:rsidRPr="00AF3ECD" w:rsidRDefault="00F50498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F3ECD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Referential integrity</w:t>
            </w:r>
          </w:p>
        </w:tc>
      </w:tr>
      <w:tr w:rsidR="00E34CFE" w14:paraId="53DE56E8" w14:textId="77777777" w:rsidTr="226E99ED">
        <w:tc>
          <w:tcPr>
            <w:tcW w:w="1803" w:type="dxa"/>
          </w:tcPr>
          <w:p w14:paraId="75E5BF39" w14:textId="6BA9240A" w:rsidR="00E34CFE" w:rsidRPr="00A62EC6" w:rsidRDefault="00F50498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62EC6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unique</w:t>
            </w:r>
          </w:p>
        </w:tc>
        <w:tc>
          <w:tcPr>
            <w:tcW w:w="1803" w:type="dxa"/>
          </w:tcPr>
          <w:p w14:paraId="09E5D57D" w14:textId="03A6CA1B" w:rsidR="00E34CFE" w:rsidRPr="00A62EC6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62EC6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table</w:t>
            </w:r>
          </w:p>
        </w:tc>
        <w:tc>
          <w:tcPr>
            <w:tcW w:w="1803" w:type="dxa"/>
          </w:tcPr>
          <w:p w14:paraId="513BBF8D" w14:textId="0DF1AA03" w:rsidR="00E34CFE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color w:val="424242"/>
                <w:sz w:val="22"/>
                <w:szCs w:val="22"/>
              </w:rPr>
            </w:pPr>
            <w:r w:rsidRPr="226E99ED">
              <w:rPr>
                <w:rFonts w:ascii="Gill Sans MT" w:eastAsia="Gill Sans MT" w:hAnsi="Gill Sans MT" w:cs="Gill Sans MT"/>
                <w:b/>
                <w:bCs/>
                <w:color w:val="424242"/>
                <w:sz w:val="22"/>
                <w:szCs w:val="22"/>
              </w:rPr>
              <w:t>relationships</w:t>
            </w:r>
          </w:p>
        </w:tc>
        <w:tc>
          <w:tcPr>
            <w:tcW w:w="1803" w:type="dxa"/>
          </w:tcPr>
          <w:p w14:paraId="7C306554" w14:textId="1E6E1171" w:rsidR="00E34CFE" w:rsidRPr="00A62EC6" w:rsidRDefault="00182A84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</w:pPr>
            <w:r w:rsidRPr="00A62EC6">
              <w:rPr>
                <w:rFonts w:ascii="Gill Sans MT" w:eastAsia="Gill Sans MT" w:hAnsi="Gill Sans MT" w:cs="Gill Sans MT"/>
                <w:b/>
                <w:bCs/>
                <w:strike/>
                <w:color w:val="424242"/>
                <w:sz w:val="22"/>
                <w:szCs w:val="22"/>
              </w:rPr>
              <w:t>row</w:t>
            </w:r>
          </w:p>
        </w:tc>
        <w:tc>
          <w:tcPr>
            <w:tcW w:w="1804" w:type="dxa"/>
          </w:tcPr>
          <w:p w14:paraId="67AC30F0" w14:textId="77777777" w:rsidR="00E34CFE" w:rsidRDefault="00E34CFE" w:rsidP="226E99ED">
            <w:pPr>
              <w:pStyle w:val="NormalWeb"/>
              <w:spacing w:before="0" w:beforeAutospacing="0" w:line="360" w:lineRule="auto"/>
              <w:rPr>
                <w:rFonts w:ascii="Gill Sans MT" w:eastAsia="Gill Sans MT" w:hAnsi="Gill Sans MT" w:cs="Gill Sans MT"/>
                <w:b/>
                <w:bCs/>
                <w:color w:val="424242"/>
                <w:sz w:val="22"/>
                <w:szCs w:val="22"/>
              </w:rPr>
            </w:pPr>
          </w:p>
        </w:tc>
      </w:tr>
    </w:tbl>
    <w:p w14:paraId="0D3A1243" w14:textId="77777777" w:rsidR="007E4BEC" w:rsidRPr="007E4BEC" w:rsidRDefault="007E4BEC" w:rsidP="226E99ED">
      <w:pPr>
        <w:spacing w:line="360" w:lineRule="auto"/>
        <w:rPr>
          <w:rFonts w:ascii="Gill Sans MT" w:eastAsia="Gill Sans MT" w:hAnsi="Gill Sans MT" w:cs="Gill Sans MT"/>
        </w:rPr>
      </w:pPr>
    </w:p>
    <w:sectPr w:rsidR="007E4BEC" w:rsidRPr="007E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C"/>
    <w:rsid w:val="00103D54"/>
    <w:rsid w:val="001258C6"/>
    <w:rsid w:val="00182A84"/>
    <w:rsid w:val="00346168"/>
    <w:rsid w:val="0036389F"/>
    <w:rsid w:val="00381D6C"/>
    <w:rsid w:val="00446F07"/>
    <w:rsid w:val="005F25A9"/>
    <w:rsid w:val="006E13DB"/>
    <w:rsid w:val="006E1544"/>
    <w:rsid w:val="00740D28"/>
    <w:rsid w:val="007E4BEC"/>
    <w:rsid w:val="008E60EA"/>
    <w:rsid w:val="00A62EC6"/>
    <w:rsid w:val="00AF3ECD"/>
    <w:rsid w:val="00B01764"/>
    <w:rsid w:val="00B23977"/>
    <w:rsid w:val="00B9797F"/>
    <w:rsid w:val="00C1359F"/>
    <w:rsid w:val="00CB45D9"/>
    <w:rsid w:val="00D96F0D"/>
    <w:rsid w:val="00E0305B"/>
    <w:rsid w:val="00E34CFE"/>
    <w:rsid w:val="00E92E43"/>
    <w:rsid w:val="00F21B51"/>
    <w:rsid w:val="00F50498"/>
    <w:rsid w:val="05865A9A"/>
    <w:rsid w:val="21AF8F31"/>
    <w:rsid w:val="226E9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3B9"/>
  <w15:chartTrackingRefBased/>
  <w15:docId w15:val="{C0952941-FDBB-40B7-AD01-2776B644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B23977"/>
    <w:rPr>
      <w:b/>
      <w:bCs/>
    </w:rPr>
  </w:style>
  <w:style w:type="table" w:styleId="TableGrid">
    <w:name w:val="Table Grid"/>
    <w:basedOn w:val="TableNormal"/>
    <w:uiPriority w:val="39"/>
    <w:rsid w:val="00E3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496E4-61B8-4ADC-9C31-5ABEE0C4DA53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27BC14AE-2EE7-4060-8BAD-598E6F5D6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A0AD9-77F1-4049-A71E-10BC91A2C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6</cp:revision>
  <dcterms:created xsi:type="dcterms:W3CDTF">2022-05-09T21:08:00Z</dcterms:created>
  <dcterms:modified xsi:type="dcterms:W3CDTF">2023-10-10T19:13:00Z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