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4AE" w:rsidRPr="001C3C91" w:rsidRDefault="001C3C91" w:rsidP="00416B6D">
      <w:pPr>
        <w:jc w:val="both"/>
        <w:rPr>
          <w:rFonts w:ascii="Arial" w:hAnsi="Arial" w:cs="Arial"/>
          <w:b/>
          <w:bCs/>
          <w:sz w:val="20"/>
          <w:szCs w:val="20"/>
          <w:u w:val="single"/>
          <w:lang w:val="es-ES"/>
        </w:rPr>
      </w:pPr>
      <w:r>
        <w:rPr>
          <w:rFonts w:ascii="Arial" w:hAnsi="Arial" w:cs="Arial"/>
          <w:b/>
          <w:bCs/>
          <w:sz w:val="20"/>
          <w:szCs w:val="20"/>
          <w:lang w:val="es-ES"/>
        </w:rPr>
        <w:t xml:space="preserve">INFORME DE </w:t>
      </w:r>
      <w:r w:rsidR="00B934AE" w:rsidRPr="00B934AE">
        <w:rPr>
          <w:rFonts w:ascii="Arial" w:hAnsi="Arial" w:cs="Arial"/>
          <w:b/>
          <w:bCs/>
          <w:sz w:val="20"/>
          <w:szCs w:val="20"/>
          <w:lang w:val="es-ES"/>
        </w:rPr>
        <w:t>AVANCE TESIS</w:t>
      </w:r>
      <w:r>
        <w:rPr>
          <w:rFonts w:ascii="Arial" w:hAnsi="Arial" w:cs="Arial"/>
          <w:b/>
          <w:bCs/>
          <w:sz w:val="20"/>
          <w:szCs w:val="20"/>
          <w:lang w:val="es-ES"/>
        </w:rPr>
        <w:t>. Leonardo Mateus</w:t>
      </w:r>
    </w:p>
    <w:p w:rsidR="00F23AB5" w:rsidRPr="00416B6D" w:rsidRDefault="006F73DD" w:rsidP="00416B6D">
      <w:pPr>
        <w:jc w:val="both"/>
        <w:rPr>
          <w:rFonts w:ascii="Arial" w:hAnsi="Arial" w:cs="Arial"/>
          <w:sz w:val="20"/>
          <w:szCs w:val="20"/>
          <w:lang w:val="es-ES"/>
        </w:rPr>
      </w:pPr>
      <w:r w:rsidRPr="00416B6D">
        <w:rPr>
          <w:rFonts w:ascii="Arial" w:hAnsi="Arial" w:cs="Arial"/>
          <w:sz w:val="20"/>
          <w:szCs w:val="20"/>
          <w:lang w:val="es-ES"/>
        </w:rPr>
        <w:t xml:space="preserve">Para el análisis de los parámetros de movimiento fuerte de los sismos que generaron deslizamientos en Colombia </w:t>
      </w:r>
      <w:r w:rsidR="00F23AB5" w:rsidRPr="00416B6D">
        <w:rPr>
          <w:rFonts w:ascii="Arial" w:hAnsi="Arial" w:cs="Arial"/>
          <w:sz w:val="20"/>
          <w:szCs w:val="20"/>
          <w:lang w:val="es-ES"/>
        </w:rPr>
        <w:t>se abordaron dos puntos de vista:</w:t>
      </w:r>
      <w:bookmarkStart w:id="0" w:name="_GoBack"/>
      <w:bookmarkEnd w:id="0"/>
    </w:p>
    <w:p w:rsidR="001C3C91" w:rsidRDefault="00F23AB5" w:rsidP="00416B6D">
      <w:pPr>
        <w:pStyle w:val="Prrafodelista"/>
        <w:numPr>
          <w:ilvl w:val="0"/>
          <w:numId w:val="1"/>
        </w:numPr>
        <w:jc w:val="both"/>
        <w:rPr>
          <w:rFonts w:ascii="Arial" w:hAnsi="Arial" w:cs="Arial"/>
          <w:sz w:val="20"/>
          <w:szCs w:val="20"/>
          <w:lang w:val="es-ES"/>
        </w:rPr>
      </w:pPr>
      <w:r w:rsidRPr="00416B6D">
        <w:rPr>
          <w:rFonts w:ascii="Arial" w:hAnsi="Arial" w:cs="Arial"/>
          <w:sz w:val="20"/>
          <w:szCs w:val="20"/>
          <w:lang w:val="es-ES"/>
        </w:rPr>
        <w:t>Cualitativo: En donde se realizó la revisión del</w:t>
      </w:r>
      <w:r w:rsidR="00733294" w:rsidRPr="00416B6D">
        <w:rPr>
          <w:rFonts w:ascii="Arial" w:hAnsi="Arial" w:cs="Arial"/>
          <w:sz w:val="20"/>
          <w:szCs w:val="20"/>
          <w:lang w:val="es-ES"/>
        </w:rPr>
        <w:t xml:space="preserve"> </w:t>
      </w:r>
      <w:r w:rsidRPr="00416B6D">
        <w:rPr>
          <w:rFonts w:ascii="Arial" w:hAnsi="Arial" w:cs="Arial"/>
          <w:sz w:val="20"/>
          <w:szCs w:val="20"/>
          <w:lang w:val="es-ES"/>
        </w:rPr>
        <w:t>catálogo</w:t>
      </w:r>
      <w:r w:rsidR="00733294" w:rsidRPr="00416B6D">
        <w:rPr>
          <w:rFonts w:ascii="Arial" w:hAnsi="Arial" w:cs="Arial"/>
          <w:sz w:val="20"/>
          <w:szCs w:val="20"/>
          <w:lang w:val="es-ES"/>
        </w:rPr>
        <w:t xml:space="preserve"> de sismicidad histórica desarrol</w:t>
      </w:r>
      <w:r w:rsidR="006F73DD" w:rsidRPr="00416B6D">
        <w:rPr>
          <w:rFonts w:ascii="Arial" w:hAnsi="Arial" w:cs="Arial"/>
          <w:sz w:val="20"/>
          <w:szCs w:val="20"/>
          <w:lang w:val="es-ES"/>
        </w:rPr>
        <w:t xml:space="preserve">lado </w:t>
      </w:r>
    </w:p>
    <w:p w:rsidR="00F23AB5" w:rsidRPr="00416B6D" w:rsidRDefault="00733294" w:rsidP="00416B6D">
      <w:pPr>
        <w:pStyle w:val="Prrafodelista"/>
        <w:numPr>
          <w:ilvl w:val="0"/>
          <w:numId w:val="1"/>
        </w:numPr>
        <w:jc w:val="both"/>
        <w:rPr>
          <w:rFonts w:ascii="Arial" w:hAnsi="Arial" w:cs="Arial"/>
          <w:sz w:val="20"/>
          <w:szCs w:val="20"/>
          <w:lang w:val="es-ES"/>
        </w:rPr>
      </w:pPr>
      <w:r w:rsidRPr="00416B6D">
        <w:rPr>
          <w:rFonts w:ascii="Arial" w:hAnsi="Arial" w:cs="Arial"/>
          <w:sz w:val="20"/>
          <w:szCs w:val="20"/>
          <w:lang w:val="es-ES"/>
        </w:rPr>
        <w:t xml:space="preserve">por el Servicio Geológico Colombiano </w:t>
      </w:r>
      <w:r w:rsidR="00F23AB5" w:rsidRPr="00416B6D">
        <w:rPr>
          <w:rFonts w:ascii="Arial" w:hAnsi="Arial" w:cs="Arial"/>
          <w:sz w:val="20"/>
          <w:szCs w:val="20"/>
          <w:lang w:val="es-ES"/>
        </w:rPr>
        <w:t>(SGC) y se estimó la localización de los sitios con deslizamientos inducidos por el sismo respectivo.</w:t>
      </w:r>
    </w:p>
    <w:p w:rsidR="00F23AB5" w:rsidRPr="00416B6D" w:rsidRDefault="00F23AB5" w:rsidP="00416B6D">
      <w:pPr>
        <w:pStyle w:val="Prrafodelista"/>
        <w:numPr>
          <w:ilvl w:val="0"/>
          <w:numId w:val="1"/>
        </w:numPr>
        <w:jc w:val="both"/>
        <w:rPr>
          <w:rFonts w:ascii="Arial" w:hAnsi="Arial" w:cs="Arial"/>
          <w:sz w:val="20"/>
          <w:szCs w:val="20"/>
          <w:lang w:val="es-ES"/>
        </w:rPr>
      </w:pPr>
      <w:r w:rsidRPr="00416B6D">
        <w:rPr>
          <w:rFonts w:ascii="Arial" w:hAnsi="Arial" w:cs="Arial"/>
          <w:sz w:val="20"/>
          <w:szCs w:val="20"/>
          <w:lang w:val="es-ES"/>
        </w:rPr>
        <w:t>Cuantitativo: En donde se determinan parámetros de movimiento fuerte de las señales registradas por la Red Sismológica Nacional de Colombia.</w:t>
      </w:r>
    </w:p>
    <w:p w:rsidR="00733294" w:rsidRPr="00416B6D" w:rsidRDefault="00733294" w:rsidP="00416B6D">
      <w:pPr>
        <w:jc w:val="both"/>
        <w:rPr>
          <w:rFonts w:ascii="Arial" w:hAnsi="Arial" w:cs="Arial"/>
          <w:sz w:val="20"/>
          <w:szCs w:val="20"/>
          <w:lang w:val="es-ES"/>
        </w:rPr>
      </w:pPr>
    </w:p>
    <w:p w:rsidR="00733294" w:rsidRPr="00416B6D" w:rsidRDefault="00F23AB5" w:rsidP="00416B6D">
      <w:pPr>
        <w:pStyle w:val="Prrafodelista"/>
        <w:numPr>
          <w:ilvl w:val="0"/>
          <w:numId w:val="3"/>
        </w:numPr>
        <w:jc w:val="both"/>
        <w:rPr>
          <w:rFonts w:ascii="Arial" w:hAnsi="Arial" w:cs="Arial"/>
          <w:sz w:val="20"/>
          <w:szCs w:val="20"/>
          <w:lang w:val="es-ES"/>
        </w:rPr>
      </w:pPr>
      <w:r w:rsidRPr="00416B6D">
        <w:rPr>
          <w:rFonts w:ascii="Arial" w:hAnsi="Arial" w:cs="Arial"/>
          <w:b/>
          <w:bCs/>
          <w:sz w:val="20"/>
          <w:szCs w:val="20"/>
          <w:lang w:val="es-ES"/>
        </w:rPr>
        <w:t>ANÁLISIS CUALITATIVO</w:t>
      </w:r>
    </w:p>
    <w:p w:rsidR="00F23AB5" w:rsidRPr="00416B6D" w:rsidRDefault="00F23AB5" w:rsidP="00416B6D">
      <w:pPr>
        <w:ind w:left="360"/>
        <w:jc w:val="both"/>
        <w:rPr>
          <w:rFonts w:ascii="Arial" w:hAnsi="Arial" w:cs="Arial"/>
          <w:sz w:val="20"/>
          <w:szCs w:val="20"/>
          <w:lang w:val="es-ES"/>
        </w:rPr>
      </w:pPr>
      <w:r w:rsidRPr="00416B6D">
        <w:rPr>
          <w:rFonts w:ascii="Arial" w:hAnsi="Arial" w:cs="Arial"/>
          <w:sz w:val="20"/>
          <w:szCs w:val="20"/>
          <w:lang w:val="es-ES"/>
        </w:rPr>
        <w:t xml:space="preserve">Se realizó una revisión de la sismicidad histórica y se </w:t>
      </w:r>
      <w:r w:rsidR="003C2FA8" w:rsidRPr="00416B6D">
        <w:rPr>
          <w:rFonts w:ascii="Arial" w:hAnsi="Arial" w:cs="Arial"/>
          <w:sz w:val="20"/>
          <w:szCs w:val="20"/>
          <w:lang w:val="es-ES"/>
        </w:rPr>
        <w:t>estimó</w:t>
      </w:r>
      <w:r w:rsidRPr="00416B6D">
        <w:rPr>
          <w:rFonts w:ascii="Arial" w:hAnsi="Arial" w:cs="Arial"/>
          <w:sz w:val="20"/>
          <w:szCs w:val="20"/>
          <w:lang w:val="es-ES"/>
        </w:rPr>
        <w:t xml:space="preserve"> la localización de deslizamientos inducidos por sismo que son reportados en relatos históricos de diversas fuentes</w:t>
      </w:r>
      <w:r w:rsidR="00CD215C" w:rsidRPr="00416B6D">
        <w:rPr>
          <w:rFonts w:ascii="Arial" w:hAnsi="Arial" w:cs="Arial"/>
          <w:sz w:val="20"/>
          <w:szCs w:val="20"/>
          <w:lang w:val="es-ES"/>
        </w:rPr>
        <w:t>, a partir de lo anterior se consolidó una base de datos en Microsoft Access</w:t>
      </w:r>
      <w:r w:rsidRPr="00416B6D">
        <w:rPr>
          <w:rFonts w:ascii="Arial" w:hAnsi="Arial" w:cs="Arial"/>
          <w:sz w:val="20"/>
          <w:szCs w:val="20"/>
          <w:lang w:val="es-ES"/>
        </w:rPr>
        <w:t>. Se encuentran 5</w:t>
      </w:r>
      <w:r w:rsidR="00C7332A">
        <w:rPr>
          <w:rFonts w:ascii="Arial" w:hAnsi="Arial" w:cs="Arial"/>
          <w:sz w:val="20"/>
          <w:szCs w:val="20"/>
          <w:lang w:val="es-ES"/>
        </w:rPr>
        <w:t>4</w:t>
      </w:r>
      <w:r w:rsidRPr="00416B6D">
        <w:rPr>
          <w:rFonts w:ascii="Arial" w:hAnsi="Arial" w:cs="Arial"/>
          <w:sz w:val="20"/>
          <w:szCs w:val="20"/>
          <w:lang w:val="es-ES"/>
        </w:rPr>
        <w:t xml:space="preserve"> sismos que dotaron algún tipo de deslizamiento,</w:t>
      </w:r>
      <w:r w:rsidR="00416B6D" w:rsidRPr="00416B6D">
        <w:rPr>
          <w:rFonts w:ascii="Arial" w:hAnsi="Arial" w:cs="Arial"/>
          <w:sz w:val="20"/>
          <w:szCs w:val="20"/>
          <w:lang w:val="es-ES"/>
        </w:rPr>
        <w:t xml:space="preserve"> encontrando en total 1</w:t>
      </w:r>
      <w:r w:rsidR="00C7332A">
        <w:rPr>
          <w:rFonts w:ascii="Arial" w:hAnsi="Arial" w:cs="Arial"/>
          <w:sz w:val="20"/>
          <w:szCs w:val="20"/>
          <w:lang w:val="es-ES"/>
        </w:rPr>
        <w:t>25</w:t>
      </w:r>
      <w:r w:rsidR="00416B6D" w:rsidRPr="00416B6D">
        <w:rPr>
          <w:rFonts w:ascii="Arial" w:hAnsi="Arial" w:cs="Arial"/>
          <w:sz w:val="20"/>
          <w:szCs w:val="20"/>
          <w:lang w:val="es-ES"/>
        </w:rPr>
        <w:t xml:space="preserve"> sitios con deslizamientos,</w:t>
      </w:r>
      <w:r w:rsidR="00CD215C" w:rsidRPr="00416B6D">
        <w:rPr>
          <w:rFonts w:ascii="Arial" w:hAnsi="Arial" w:cs="Arial"/>
          <w:sz w:val="20"/>
          <w:szCs w:val="20"/>
          <w:lang w:val="es-ES"/>
        </w:rPr>
        <w:t xml:space="preserve"> esta información es presentada en la siguiente figura.</w:t>
      </w:r>
    </w:p>
    <w:p w:rsidR="006F73DD" w:rsidRPr="00416B6D" w:rsidRDefault="00733294" w:rsidP="00B934AE">
      <w:pPr>
        <w:keepNext/>
        <w:jc w:val="center"/>
        <w:rPr>
          <w:rFonts w:ascii="Arial" w:hAnsi="Arial" w:cs="Arial"/>
        </w:rPr>
      </w:pPr>
      <w:r w:rsidRPr="00416B6D">
        <w:rPr>
          <w:rFonts w:ascii="Arial" w:hAnsi="Arial" w:cs="Arial"/>
          <w:noProof/>
          <w:sz w:val="20"/>
          <w:szCs w:val="20"/>
        </w:rPr>
        <w:drawing>
          <wp:inline distT="0" distB="0" distL="0" distR="0" wp14:anchorId="4CA1BAB1" wp14:editId="7383F8E1">
            <wp:extent cx="5314950" cy="4815823"/>
            <wp:effectExtent l="0" t="0" r="0" b="0"/>
            <wp:docPr id="2" name="Imagen 2" descr="C:\Users\Leonardo Mateus\AppData\Local\Microsoft\Windows\INetCache\Content.MSO\511E8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 Mateus\AppData\Local\Microsoft\Windows\INetCache\Content.MSO\511E8E4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9523" cy="4829028"/>
                    </a:xfrm>
                    <a:prstGeom prst="rect">
                      <a:avLst/>
                    </a:prstGeom>
                    <a:noFill/>
                    <a:ln>
                      <a:noFill/>
                    </a:ln>
                  </pic:spPr>
                </pic:pic>
              </a:graphicData>
            </a:graphic>
          </wp:inline>
        </w:drawing>
      </w:r>
    </w:p>
    <w:p w:rsidR="00733294" w:rsidRPr="00416B6D" w:rsidRDefault="00733294" w:rsidP="00416B6D">
      <w:pPr>
        <w:jc w:val="both"/>
        <w:rPr>
          <w:rFonts w:ascii="Arial" w:hAnsi="Arial" w:cs="Arial"/>
          <w:sz w:val="20"/>
          <w:szCs w:val="20"/>
          <w:lang w:val="es-ES"/>
        </w:rPr>
      </w:pPr>
    </w:p>
    <w:p w:rsidR="00733294" w:rsidRPr="00416B6D" w:rsidRDefault="00F31674" w:rsidP="00416B6D">
      <w:pPr>
        <w:jc w:val="both"/>
        <w:rPr>
          <w:rFonts w:ascii="Arial" w:hAnsi="Arial" w:cs="Arial"/>
          <w:sz w:val="20"/>
          <w:szCs w:val="20"/>
          <w:lang w:val="es-ES"/>
        </w:rPr>
      </w:pPr>
      <w:proofErr w:type="spellStart"/>
      <w:r w:rsidRPr="00416B6D">
        <w:rPr>
          <w:rFonts w:ascii="Arial" w:hAnsi="Arial" w:cs="Arial"/>
          <w:sz w:val="20"/>
          <w:szCs w:val="20"/>
          <w:lang w:val="es-ES"/>
        </w:rPr>
        <w:lastRenderedPageBreak/>
        <w:t>Keefer</w:t>
      </w:r>
      <w:proofErr w:type="spellEnd"/>
      <w:r w:rsidRPr="00416B6D">
        <w:rPr>
          <w:rFonts w:ascii="Arial" w:hAnsi="Arial" w:cs="Arial"/>
          <w:sz w:val="20"/>
          <w:szCs w:val="20"/>
          <w:lang w:val="es-ES"/>
        </w:rPr>
        <w:t xml:space="preserve"> (1984) sugiere una envolvente en donde relaciona la distancia epicentral del deslizamiento con la magnitud del sismo, en la siguiente figura se presenta esta relación para los deslizamientos detonados por sismo en Colombia.</w:t>
      </w:r>
    </w:p>
    <w:p w:rsidR="00B52AA2" w:rsidRPr="00416B6D" w:rsidRDefault="00AD2487" w:rsidP="00416B6D">
      <w:pPr>
        <w:jc w:val="both"/>
        <w:rPr>
          <w:rFonts w:ascii="Arial" w:hAnsi="Arial" w:cs="Arial"/>
          <w:sz w:val="20"/>
          <w:szCs w:val="20"/>
          <w:lang w:val="es-ES"/>
        </w:rPr>
      </w:pPr>
    </w:p>
    <w:p w:rsidR="00416B6D" w:rsidRDefault="00733294" w:rsidP="00416B6D">
      <w:pPr>
        <w:keepNext/>
        <w:jc w:val="both"/>
        <w:rPr>
          <w:rFonts w:ascii="Arial" w:hAnsi="Arial" w:cs="Arial"/>
        </w:rPr>
      </w:pPr>
      <w:r w:rsidRPr="00416B6D">
        <w:rPr>
          <w:rFonts w:ascii="Arial" w:hAnsi="Arial" w:cs="Arial"/>
          <w:noProof/>
          <w:sz w:val="20"/>
          <w:szCs w:val="20"/>
        </w:rPr>
        <w:drawing>
          <wp:inline distT="0" distB="0" distL="0" distR="0" wp14:anchorId="4A0251BA" wp14:editId="56061746">
            <wp:extent cx="5389702" cy="3303931"/>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efer-LeoColombia.png"/>
                    <pic:cNvPicPr/>
                  </pic:nvPicPr>
                  <pic:blipFill>
                    <a:blip r:embed="rId6">
                      <a:extLst>
                        <a:ext uri="{28A0092B-C50C-407E-A947-70E740481C1C}">
                          <a14:useLocalDpi xmlns:a14="http://schemas.microsoft.com/office/drawing/2010/main" val="0"/>
                        </a:ext>
                      </a:extLst>
                    </a:blip>
                    <a:stretch>
                      <a:fillRect/>
                    </a:stretch>
                  </pic:blipFill>
                  <pic:spPr>
                    <a:xfrm>
                      <a:off x="0" y="0"/>
                      <a:ext cx="5414901" cy="3319378"/>
                    </a:xfrm>
                    <a:prstGeom prst="rect">
                      <a:avLst/>
                    </a:prstGeom>
                  </pic:spPr>
                </pic:pic>
              </a:graphicData>
            </a:graphic>
          </wp:inline>
        </w:drawing>
      </w:r>
    </w:p>
    <w:p w:rsidR="00416B6D" w:rsidRDefault="00416B6D">
      <w:pPr>
        <w:rPr>
          <w:rFonts w:ascii="Arial" w:hAnsi="Arial" w:cs="Arial"/>
        </w:rPr>
      </w:pPr>
      <w:r>
        <w:rPr>
          <w:rFonts w:ascii="Arial" w:hAnsi="Arial" w:cs="Arial"/>
        </w:rPr>
        <w:br w:type="page"/>
      </w:r>
    </w:p>
    <w:p w:rsidR="00416B6D" w:rsidRDefault="00416B6D" w:rsidP="00416B6D">
      <w:pPr>
        <w:pStyle w:val="Prrafodelista"/>
        <w:keepNext/>
        <w:numPr>
          <w:ilvl w:val="0"/>
          <w:numId w:val="3"/>
        </w:numPr>
        <w:jc w:val="both"/>
        <w:rPr>
          <w:rFonts w:ascii="Arial" w:hAnsi="Arial" w:cs="Arial"/>
          <w:b/>
          <w:bCs/>
        </w:rPr>
      </w:pPr>
      <w:r>
        <w:rPr>
          <w:rFonts w:ascii="Arial" w:hAnsi="Arial" w:cs="Arial"/>
          <w:b/>
          <w:bCs/>
        </w:rPr>
        <w:lastRenderedPageBreak/>
        <w:t>ANÁLISIS CUANTITATIVO</w:t>
      </w:r>
    </w:p>
    <w:p w:rsidR="00416B6D" w:rsidRDefault="00416B6D" w:rsidP="00416B6D">
      <w:pPr>
        <w:keepNext/>
        <w:ind w:left="360"/>
        <w:jc w:val="both"/>
        <w:rPr>
          <w:rFonts w:ascii="Arial" w:hAnsi="Arial" w:cs="Arial"/>
          <w:lang w:val="es-ES"/>
        </w:rPr>
      </w:pPr>
      <w:r w:rsidRPr="00416B6D">
        <w:rPr>
          <w:rFonts w:ascii="Arial" w:hAnsi="Arial" w:cs="Arial"/>
          <w:lang w:val="es-ES"/>
        </w:rPr>
        <w:t>De los registros de aceleración obtenidos por la red sismológic</w:t>
      </w:r>
      <w:r>
        <w:rPr>
          <w:rFonts w:ascii="Arial" w:hAnsi="Arial" w:cs="Arial"/>
          <w:lang w:val="es-ES"/>
        </w:rPr>
        <w:t>a Nacional de Colombia que se encuentra en funcionamiento desde el año 1994 se extraen parámetros característicos de las señales.</w:t>
      </w:r>
    </w:p>
    <w:p w:rsidR="00416B6D" w:rsidRDefault="00416B6D" w:rsidP="00416B6D">
      <w:pPr>
        <w:keepNext/>
        <w:ind w:left="360"/>
        <w:jc w:val="both"/>
        <w:rPr>
          <w:rFonts w:ascii="Arial" w:hAnsi="Arial" w:cs="Arial"/>
          <w:lang w:val="es-ES"/>
        </w:rPr>
      </w:pPr>
      <w:r>
        <w:rPr>
          <w:rFonts w:ascii="Arial" w:hAnsi="Arial" w:cs="Arial"/>
          <w:lang w:val="es-ES"/>
        </w:rPr>
        <w:t>A continuación</w:t>
      </w:r>
      <w:r w:rsidR="00795B10">
        <w:rPr>
          <w:rFonts w:ascii="Arial" w:hAnsi="Arial" w:cs="Arial"/>
          <w:lang w:val="es-ES"/>
        </w:rPr>
        <w:t xml:space="preserve">, </w:t>
      </w:r>
      <w:r>
        <w:rPr>
          <w:rFonts w:ascii="Arial" w:hAnsi="Arial" w:cs="Arial"/>
          <w:lang w:val="es-ES"/>
        </w:rPr>
        <w:t xml:space="preserve">se presenta el análisis de estos parámetros de movimiento fuerte para la estación CQUET que registró el sismo de </w:t>
      </w:r>
      <w:proofErr w:type="spellStart"/>
      <w:r>
        <w:rPr>
          <w:rFonts w:ascii="Arial" w:hAnsi="Arial" w:cs="Arial"/>
          <w:lang w:val="es-ES"/>
        </w:rPr>
        <w:t>Quetame</w:t>
      </w:r>
      <w:proofErr w:type="spellEnd"/>
      <w:r>
        <w:rPr>
          <w:rFonts w:ascii="Arial" w:hAnsi="Arial" w:cs="Arial"/>
          <w:lang w:val="es-ES"/>
        </w:rPr>
        <w:t xml:space="preserve"> del año 2008.</w:t>
      </w:r>
    </w:p>
    <w:p w:rsidR="00795B10" w:rsidRPr="00795B10" w:rsidRDefault="00795B10" w:rsidP="00795B10">
      <w:pPr>
        <w:pStyle w:val="Prrafodelista"/>
        <w:keepNext/>
        <w:numPr>
          <w:ilvl w:val="1"/>
          <w:numId w:val="1"/>
        </w:numPr>
        <w:jc w:val="both"/>
        <w:rPr>
          <w:rFonts w:ascii="Arial" w:hAnsi="Arial" w:cs="Arial"/>
          <w:lang w:val="es-ES"/>
        </w:rPr>
      </w:pPr>
      <w:r w:rsidRPr="00795B10">
        <w:rPr>
          <w:rFonts w:ascii="Arial" w:hAnsi="Arial" w:cs="Arial"/>
          <w:lang w:val="es-ES"/>
        </w:rPr>
        <w:t>Parámetros basados en valores pico</w:t>
      </w:r>
      <w:r w:rsidR="00416B6D" w:rsidRPr="00795B10">
        <w:rPr>
          <w:rFonts w:ascii="Arial" w:hAnsi="Arial" w:cs="Arial"/>
          <w:lang w:val="es-ES"/>
        </w:rPr>
        <w:t xml:space="preserve">: </w:t>
      </w:r>
      <w:r w:rsidR="0050393E" w:rsidRPr="00795B10">
        <w:rPr>
          <w:rFonts w:ascii="Arial" w:hAnsi="Arial" w:cs="Arial"/>
          <w:lang w:val="es-ES"/>
        </w:rPr>
        <w:t xml:space="preserve">Es necesario corregir las señales obtenidas antes de su procesamiento, como resultado de esta corrección se tiene la siguiente figura. Se puede </w:t>
      </w:r>
      <w:r w:rsidRPr="00795B10">
        <w:rPr>
          <w:rFonts w:ascii="Arial" w:hAnsi="Arial" w:cs="Arial"/>
          <w:lang w:val="es-ES"/>
        </w:rPr>
        <w:t>o</w:t>
      </w:r>
      <w:r w:rsidR="0050393E" w:rsidRPr="00795B10">
        <w:rPr>
          <w:rFonts w:ascii="Arial" w:hAnsi="Arial" w:cs="Arial"/>
          <w:lang w:val="es-ES"/>
        </w:rPr>
        <w:t>bservar un valor de PGA cercano a 6 m/s en la componente EW. De aplicar integración se obtienen series de tiempo de la velocidad y de desplazamiento.</w:t>
      </w:r>
    </w:p>
    <w:p w:rsidR="00416B6D" w:rsidRDefault="00416B6D" w:rsidP="00416B6D">
      <w:pPr>
        <w:keepNext/>
        <w:ind w:left="360"/>
        <w:jc w:val="center"/>
        <w:rPr>
          <w:rFonts w:ascii="Arial" w:hAnsi="Arial" w:cs="Arial"/>
          <w:lang w:val="es-ES"/>
        </w:rPr>
      </w:pPr>
      <w:r>
        <w:rPr>
          <w:rFonts w:ascii="Arial" w:hAnsi="Arial" w:cs="Arial"/>
          <w:noProof/>
          <w:lang w:val="es-ES"/>
        </w:rPr>
        <w:drawing>
          <wp:inline distT="0" distB="0" distL="0" distR="0">
            <wp:extent cx="4975225" cy="4637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el_quetame.png"/>
                    <pic:cNvPicPr/>
                  </pic:nvPicPr>
                  <pic:blipFill>
                    <a:blip r:embed="rId7">
                      <a:extLst>
                        <a:ext uri="{28A0092B-C50C-407E-A947-70E740481C1C}">
                          <a14:useLocalDpi xmlns:a14="http://schemas.microsoft.com/office/drawing/2010/main" val="0"/>
                        </a:ext>
                      </a:extLst>
                    </a:blip>
                    <a:stretch>
                      <a:fillRect/>
                    </a:stretch>
                  </pic:blipFill>
                  <pic:spPr>
                    <a:xfrm>
                      <a:off x="0" y="0"/>
                      <a:ext cx="5038497" cy="4696735"/>
                    </a:xfrm>
                    <a:prstGeom prst="rect">
                      <a:avLst/>
                    </a:prstGeom>
                  </pic:spPr>
                </pic:pic>
              </a:graphicData>
            </a:graphic>
          </wp:inline>
        </w:drawing>
      </w:r>
    </w:p>
    <w:p w:rsidR="0050393E" w:rsidRDefault="00795B10" w:rsidP="00795B10">
      <w:pPr>
        <w:keepNext/>
        <w:ind w:left="360"/>
        <w:rPr>
          <w:rFonts w:ascii="Arial" w:hAnsi="Arial" w:cs="Arial"/>
          <w:lang w:val="es-ES"/>
        </w:rPr>
      </w:pPr>
      <w:r>
        <w:rPr>
          <w:rFonts w:ascii="Arial" w:hAnsi="Arial" w:cs="Arial"/>
          <w:lang w:val="es-ES"/>
        </w:rPr>
        <w:t>A partir de los valores pico se obtienen los parámetros de movimiento fuerte PGA/PGV y Newmark.</w:t>
      </w:r>
    </w:p>
    <w:p w:rsidR="00795B10" w:rsidRDefault="00795B10">
      <w:pPr>
        <w:rPr>
          <w:rFonts w:ascii="Arial" w:hAnsi="Arial" w:cs="Arial"/>
          <w:lang w:val="es-ES"/>
        </w:rPr>
      </w:pPr>
      <w:r>
        <w:rPr>
          <w:rFonts w:ascii="Arial" w:hAnsi="Arial" w:cs="Arial"/>
          <w:lang w:val="es-ES"/>
        </w:rPr>
        <w:br w:type="page"/>
      </w:r>
    </w:p>
    <w:p w:rsidR="00795B10" w:rsidRPr="00795B10" w:rsidRDefault="00795B10" w:rsidP="00795B10">
      <w:pPr>
        <w:pStyle w:val="Prrafodelista"/>
        <w:keepNext/>
        <w:numPr>
          <w:ilvl w:val="1"/>
          <w:numId w:val="3"/>
        </w:numPr>
        <w:rPr>
          <w:rFonts w:ascii="Arial" w:hAnsi="Arial" w:cs="Arial"/>
          <w:lang w:val="es-ES"/>
        </w:rPr>
      </w:pPr>
      <w:r w:rsidRPr="00795B10">
        <w:rPr>
          <w:rFonts w:ascii="Arial" w:hAnsi="Arial" w:cs="Arial"/>
          <w:lang w:val="es-ES"/>
        </w:rPr>
        <w:lastRenderedPageBreak/>
        <w:t>Intensidad de Arias</w:t>
      </w:r>
    </w:p>
    <w:p w:rsidR="00795B10" w:rsidRPr="00795B10" w:rsidRDefault="00795B10" w:rsidP="00795B10">
      <w:pPr>
        <w:keepNext/>
        <w:ind w:left="360"/>
        <w:rPr>
          <w:rFonts w:ascii="Arial" w:hAnsi="Arial" w:cs="Arial"/>
          <w:lang w:val="es-ES"/>
        </w:rPr>
      </w:pPr>
      <w:r>
        <w:rPr>
          <w:rFonts w:ascii="Arial" w:hAnsi="Arial" w:cs="Arial"/>
          <w:noProof/>
          <w:lang w:val="es-ES"/>
        </w:rPr>
        <w:drawing>
          <wp:inline distT="0" distB="0" distL="0" distR="0">
            <wp:extent cx="5076825" cy="3016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A.png"/>
                    <pic:cNvPicPr/>
                  </pic:nvPicPr>
                  <pic:blipFill>
                    <a:blip r:embed="rId8">
                      <a:extLst>
                        <a:ext uri="{28A0092B-C50C-407E-A947-70E740481C1C}">
                          <a14:useLocalDpi xmlns:a14="http://schemas.microsoft.com/office/drawing/2010/main" val="0"/>
                        </a:ext>
                      </a:extLst>
                    </a:blip>
                    <a:stretch>
                      <a:fillRect/>
                    </a:stretch>
                  </pic:blipFill>
                  <pic:spPr>
                    <a:xfrm>
                      <a:off x="0" y="0"/>
                      <a:ext cx="5144171" cy="3056174"/>
                    </a:xfrm>
                    <a:prstGeom prst="rect">
                      <a:avLst/>
                    </a:prstGeom>
                  </pic:spPr>
                </pic:pic>
              </a:graphicData>
            </a:graphic>
          </wp:inline>
        </w:drawing>
      </w:r>
    </w:p>
    <w:p w:rsidR="0050393E" w:rsidRDefault="003C2FA8" w:rsidP="003C2FA8">
      <w:pPr>
        <w:keepNext/>
        <w:ind w:left="360"/>
        <w:rPr>
          <w:rFonts w:ascii="Arial" w:hAnsi="Arial" w:cs="Arial"/>
          <w:lang w:val="es-ES"/>
        </w:rPr>
      </w:pPr>
      <w:r>
        <w:rPr>
          <w:rFonts w:ascii="Arial" w:hAnsi="Arial" w:cs="Arial"/>
          <w:lang w:val="es-ES"/>
        </w:rPr>
        <w:t>Basados en espectros de respuesta</w:t>
      </w:r>
    </w:p>
    <w:p w:rsidR="0050393E" w:rsidRDefault="00795B10" w:rsidP="0050393E">
      <w:pPr>
        <w:keepNext/>
        <w:ind w:left="360"/>
        <w:rPr>
          <w:rFonts w:ascii="Arial" w:hAnsi="Arial" w:cs="Arial"/>
          <w:lang w:val="es-ES"/>
        </w:rPr>
      </w:pPr>
      <w:r>
        <w:rPr>
          <w:rFonts w:ascii="Arial" w:hAnsi="Arial" w:cs="Arial"/>
          <w:noProof/>
          <w:lang w:val="es-ES"/>
        </w:rPr>
        <w:drawing>
          <wp:inline distT="0" distB="0" distL="0" distR="0">
            <wp:extent cx="5943600" cy="3735705"/>
            <wp:effectExtent l="0" t="0" r="0" b="0"/>
            <wp:docPr id="5" name="Imagen 5" descr="C:\Users\Leonardo Mateus\AppData\Local\Microsoft\Windows\INetCache\Content.MSO\26482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 Mateus\AppData\Local\Microsoft\Windows\INetCache\Content.MSO\26482B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rsidR="003C2FA8" w:rsidRDefault="003C2FA8" w:rsidP="0050393E">
      <w:pPr>
        <w:keepNext/>
        <w:ind w:left="360"/>
        <w:rPr>
          <w:rFonts w:ascii="Arial" w:hAnsi="Arial" w:cs="Arial"/>
          <w:lang w:val="es-ES"/>
        </w:rPr>
      </w:pPr>
    </w:p>
    <w:p w:rsidR="003C2FA8" w:rsidRDefault="003C2FA8" w:rsidP="0050393E">
      <w:pPr>
        <w:keepNext/>
        <w:ind w:left="360"/>
        <w:rPr>
          <w:rFonts w:ascii="Arial" w:hAnsi="Arial" w:cs="Arial"/>
          <w:lang w:val="es-ES"/>
        </w:rPr>
      </w:pPr>
    </w:p>
    <w:p w:rsidR="003C2FA8" w:rsidRDefault="003C2FA8" w:rsidP="0050393E">
      <w:pPr>
        <w:keepNext/>
        <w:ind w:left="360"/>
        <w:rPr>
          <w:rFonts w:ascii="Arial" w:hAnsi="Arial" w:cs="Arial"/>
          <w:lang w:val="es-ES"/>
        </w:rPr>
      </w:pPr>
    </w:p>
    <w:p w:rsidR="003C2FA8" w:rsidRDefault="003C2FA8" w:rsidP="0050393E">
      <w:pPr>
        <w:keepNext/>
        <w:ind w:left="360"/>
        <w:rPr>
          <w:rFonts w:ascii="Arial" w:hAnsi="Arial" w:cs="Arial"/>
          <w:lang w:val="es-ES"/>
        </w:rPr>
      </w:pPr>
      <w:r>
        <w:rPr>
          <w:rFonts w:ascii="Arial" w:hAnsi="Arial" w:cs="Arial"/>
          <w:noProof/>
          <w:lang w:val="es-ES"/>
        </w:rPr>
        <w:drawing>
          <wp:inline distT="0" distB="0" distL="0" distR="0">
            <wp:extent cx="5943600" cy="3185795"/>
            <wp:effectExtent l="0" t="0" r="0" b="0"/>
            <wp:docPr id="6" name="Imagen 6" descr="C:\Users\Leonardo Mateus\AppData\Local\Microsoft\Windows\INetCache\Content.MSO\E3C27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 Mateus\AppData\Local\Microsoft\Windows\INetCache\Content.MSO\E3C27F8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rsidR="003C2FA8" w:rsidRDefault="003C2FA8" w:rsidP="003C2FA8">
      <w:pPr>
        <w:keepNext/>
        <w:ind w:left="360"/>
        <w:rPr>
          <w:rFonts w:ascii="Arial" w:hAnsi="Arial" w:cs="Arial"/>
          <w:b/>
          <w:bCs/>
          <w:lang w:val="es-ES"/>
        </w:rPr>
      </w:pPr>
      <w:r>
        <w:rPr>
          <w:rFonts w:ascii="Arial" w:hAnsi="Arial" w:cs="Arial"/>
          <w:b/>
          <w:bCs/>
          <w:lang w:val="es-ES"/>
        </w:rPr>
        <w:t>BASADOS EN ENERGÍA</w:t>
      </w:r>
    </w:p>
    <w:p w:rsidR="003C2FA8" w:rsidRPr="003C2FA8" w:rsidRDefault="003C2FA8" w:rsidP="003C2FA8">
      <w:pPr>
        <w:keepNext/>
        <w:ind w:left="360"/>
        <w:rPr>
          <w:rFonts w:ascii="Arial" w:hAnsi="Arial" w:cs="Arial"/>
          <w:b/>
          <w:bCs/>
          <w:lang w:val="es-ES"/>
        </w:rPr>
      </w:pPr>
      <w:r>
        <w:rPr>
          <w:rFonts w:ascii="Arial" w:hAnsi="Arial" w:cs="Arial"/>
          <w:b/>
          <w:bCs/>
          <w:noProof/>
          <w:lang w:val="es-ES"/>
        </w:rPr>
        <w:drawing>
          <wp:inline distT="0" distB="0" distL="0" distR="0">
            <wp:extent cx="5943600" cy="3787140"/>
            <wp:effectExtent l="0" t="0" r="0" b="0"/>
            <wp:docPr id="7" name="Imagen 7" descr="C:\Users\Leonardo Mateus\AppData\Local\Microsoft\Windows\INetCache\Content.MSO\A4BD8C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 Mateus\AppData\Local\Microsoft\Windows\INetCache\Content.MSO\A4BD8CD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sectPr w:rsidR="003C2FA8" w:rsidRPr="003C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0DB5"/>
    <w:multiLevelType w:val="multilevel"/>
    <w:tmpl w:val="62FCB62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DC63F4"/>
    <w:multiLevelType w:val="multilevel"/>
    <w:tmpl w:val="9B92B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E0B3086"/>
    <w:multiLevelType w:val="hybridMultilevel"/>
    <w:tmpl w:val="999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94"/>
    <w:rsid w:val="0013377D"/>
    <w:rsid w:val="001C3C91"/>
    <w:rsid w:val="002A67A2"/>
    <w:rsid w:val="003C2FA8"/>
    <w:rsid w:val="00416B6D"/>
    <w:rsid w:val="0050393E"/>
    <w:rsid w:val="006F73DD"/>
    <w:rsid w:val="00733294"/>
    <w:rsid w:val="00795B10"/>
    <w:rsid w:val="00AD2487"/>
    <w:rsid w:val="00B934AE"/>
    <w:rsid w:val="00C7332A"/>
    <w:rsid w:val="00CD215C"/>
    <w:rsid w:val="00F23AB5"/>
    <w:rsid w:val="00F3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795F"/>
  <w15:chartTrackingRefBased/>
  <w15:docId w15:val="{33BC7ED7-1743-4EE7-B889-AB26274B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33294"/>
    <w:pPr>
      <w:spacing w:after="200" w:line="240" w:lineRule="auto"/>
    </w:pPr>
    <w:rPr>
      <w:i/>
      <w:iCs/>
      <w:color w:val="44546A" w:themeColor="text2"/>
      <w:sz w:val="18"/>
      <w:szCs w:val="18"/>
    </w:rPr>
  </w:style>
  <w:style w:type="paragraph" w:styleId="Prrafodelista">
    <w:name w:val="List Paragraph"/>
    <w:basedOn w:val="Normal"/>
    <w:uiPriority w:val="34"/>
    <w:qFormat/>
    <w:rsid w:val="00F2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318</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Mateus</dc:creator>
  <cp:keywords/>
  <dc:description/>
  <cp:lastModifiedBy>Leonardo Mateus</cp:lastModifiedBy>
  <cp:revision>7</cp:revision>
  <dcterms:created xsi:type="dcterms:W3CDTF">2020-02-04T12:11:00Z</dcterms:created>
  <dcterms:modified xsi:type="dcterms:W3CDTF">2020-02-10T17:56:00Z</dcterms:modified>
</cp:coreProperties>
</file>