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Lab I · Recorrido Espacios verdes</w:t>
      </w:r>
    </w:p>
    <w:p>
      <w:r>
        <w:rPr>
          <w:sz w:val="22"/>
        </w:rPr>
        <w:t>Capstone · árboles estado=Crítico · Del píxel a la decisión</w:t>
      </w:r>
    </w:p>
    <w:p>
      <w:r>
        <w:rPr>
          <w:sz w:val="22"/>
        </w:rPr>
        <w:t>URL: https://lmbsoft.github.io/curza-stic/sig-teledeteccion-autonomo.html</w:t>
      </w:r>
    </w:p>
    <w:p>
      <w:r>
        <w:rPr>
          <w:sz w:val="22"/>
        </w:rPr>
        <w:t>Video: sig-carrera-espacios-verdes-charon.mp4 (soft subs). Recorrido demo docente.</w:t>
      </w:r>
    </w:p>
    <w:p>
      <w:r>
        <w:rPr>
          <w:b/>
          <w:color w:val="1A568A"/>
          <w:sz w:val="26"/>
        </w:rPr>
        <w:t>Paso 1. Contexto</w:t>
      </w:r>
    </w:p>
    <w:p>
      <w:r>
        <w:rPr>
          <w:sz w:val="22"/>
        </w:rPr>
        <w:t>Recorrido Espacios verdes: inspección de arbolado.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Misma escena, otra pregunta.</w:t>
      </w:r>
    </w:p>
    <w:p>
      <w:r>
        <w:rPr>
          <w:b/>
          <w:color w:val="1A568A"/>
          <w:sz w:val="26"/>
        </w:rPr>
        <w:t>Paso 2. Consignas</w:t>
      </w:r>
    </w:p>
    <w:p>
      <w:r>
        <w:rPr>
          <w:sz w:val="22"/>
        </w:rPr>
        <w:t>Modo guiado y principio SIG.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El índice no reemplaza inspección.</w:t>
      </w:r>
    </w:p>
    <w:p>
      <w:r>
        <w:rPr>
          <w:b/>
          <w:color w:val="1A568A"/>
          <w:sz w:val="26"/>
        </w:rPr>
        <w:t>Paso 3. Perfil</w:t>
      </w:r>
    </w:p>
    <w:p>
      <w:r>
        <w:rPr>
          <w:sz w:val="22"/>
        </w:rPr>
        <w:t>Selector → Espacios verdes.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Árboles críticos + menor vigor.</w:t>
      </w:r>
    </w:p>
    <w:p>
      <w:r>
        <w:rPr>
          <w:b/>
          <w:color w:val="1A568A"/>
          <w:sz w:val="26"/>
        </w:rPr>
        <w:t>Paso 4. Metadatos</w:t>
      </w:r>
    </w:p>
    <w:p>
      <w:r>
        <w:rPr>
          <w:sz w:val="22"/>
        </w:rPr>
        <w:t>Módulo 2: proveedor y fecha.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Fenología urbana.</w:t>
      </w:r>
    </w:p>
    <w:p>
      <w:r>
        <w:rPr>
          <w:b/>
          <w:color w:val="1A568A"/>
          <w:sz w:val="26"/>
        </w:rPr>
        <w:t>Paso 5. Bandas</w:t>
      </w:r>
    </w:p>
    <w:p>
      <w:r>
        <w:rPr>
          <w:sz w:val="22"/>
        </w:rPr>
        <w:t>Natural 4-3-2 y falso color 5-4-3.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5</w:t>
      </w:r>
    </w:p>
    <w:p>
      <w:r>
        <w:rPr>
          <w:b/>
          <w:sz w:val="20"/>
        </w:rPr>
        <w:t>Tip: Vegetación vs ciudad.</w:t>
      </w:r>
    </w:p>
    <w:p>
      <w:r>
        <w:rPr>
          <w:b/>
          <w:color w:val="1A568A"/>
          <w:sz w:val="26"/>
        </w:rPr>
        <w:t>Paso 6. NDVI</w:t>
      </w:r>
    </w:p>
    <w:p>
      <w:r>
        <w:rPr>
          <w:sz w:val="22"/>
        </w:rPr>
        <w:t>NDVI, contraste, menor vigor.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6</w:t>
      </w:r>
    </w:p>
    <w:p>
      <w:r>
        <w:rPr>
          <w:b/>
          <w:sz w:val="20"/>
        </w:rPr>
        <w:t>Tip: Indicio para priorizar.</w:t>
      </w:r>
    </w:p>
    <w:p>
      <w:r>
        <w:rPr>
          <w:b/>
          <w:color w:val="1A568A"/>
          <w:sz w:val="26"/>
        </w:rPr>
        <w:t>Paso 7. Consulta</w:t>
      </w:r>
    </w:p>
    <w:p>
      <w:r>
        <w:rPr>
          <w:sz w:val="22"/>
        </w:rPr>
        <w:t>Árboles con estado crítico.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7</w:t>
      </w:r>
    </w:p>
    <w:p>
      <w:r>
        <w:rPr>
          <w:b/>
          <w:sz w:val="20"/>
        </w:rPr>
        <w:t>Tip: Tabla filtrada.</w:t>
      </w:r>
    </w:p>
    <w:p>
      <w:r>
        <w:rPr>
          <w:b/>
          <w:color w:val="1A568A"/>
          <w:sz w:val="26"/>
        </w:rPr>
        <w:t>Paso 8. Tabla</w:t>
      </w:r>
    </w:p>
    <w:p>
      <w:r>
        <w:rPr>
          <w:sz w:val="22"/>
        </w:rPr>
        <w:t>Seleccioná especie/estado.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8</w:t>
      </w:r>
    </w:p>
    <w:p>
      <w:r>
        <w:rPr>
          <w:b/>
          <w:sz w:val="20"/>
        </w:rPr>
        <w:t>Tip: QGIS: expresión.</w:t>
      </w:r>
    </w:p>
    <w:p>
      <w:r>
        <w:rPr>
          <w:b/>
          <w:color w:val="1A568A"/>
          <w:sz w:val="26"/>
        </w:rPr>
        <w:t>Paso 9. Buffer</w:t>
      </w:r>
    </w:p>
    <w:p>
      <w:r>
        <w:rPr>
          <w:sz w:val="22"/>
        </w:rPr>
        <w:t>Buffer 200 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9</w:t>
      </w:r>
    </w:p>
    <w:p>
      <w:r>
        <w:rPr>
          <w:b/>
          <w:sz w:val="20"/>
        </w:rPr>
        <w:t>Tip: Proximidad.</w:t>
      </w:r>
    </w:p>
    <w:p>
      <w:r>
        <w:rPr>
          <w:b/>
          <w:color w:val="1A568A"/>
          <w:sz w:val="26"/>
        </w:rPr>
        <w:t>Paso 10. Ubicación</w:t>
      </w:r>
    </w:p>
    <w:p>
      <w:r>
        <w:rPr>
          <w:sz w:val="22"/>
        </w:rPr>
        <w:t>Cruzá con sector de menor vigor.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10</w:t>
      </w:r>
    </w:p>
    <w:p>
      <w:r>
        <w:rPr>
          <w:b/>
          <w:sz w:val="20"/>
        </w:rPr>
        <w:t>Tip: Evidencia espacial.</w:t>
      </w:r>
    </w:p>
    <w:p>
      <w:r>
        <w:rPr>
          <w:b/>
          <w:color w:val="1A568A"/>
          <w:sz w:val="26"/>
        </w:rPr>
        <w:t>Paso 11. Exportar</w:t>
      </w:r>
    </w:p>
    <w:p>
      <w:r>
        <w:rPr>
          <w:sz w:val="22"/>
        </w:rPr>
        <w:t>Resumen con límites del método.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11</w:t>
      </w:r>
    </w:p>
    <w:p>
      <w:r>
        <w:rPr>
          <w:b/>
          <w:sz w:val="20"/>
        </w:rPr>
        <w:t>Tip: Comunicar con responsabilidad.</w:t>
      </w:r>
    </w:p>
    <w:p>
      <w:r>
        <w:rPr>
          <w:b/>
          <w:color w:val="1A568A"/>
          <w:sz w:val="26"/>
        </w:rPr>
        <w:t>Paso 12. Cierre</w:t>
      </w:r>
    </w:p>
    <w:p>
      <w:r>
        <w:rPr>
          <w:sz w:val="22"/>
        </w:rPr>
        <w:t>Capstone Espacios verdes completo.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12</w:t>
      </w:r>
    </w:p>
    <w:p>
      <w:r>
        <w:rPr>
          <w:b/>
          <w:sz w:val="20"/>
        </w:rPr>
        <w:t>Tip: Seguí con QGIS o Lab II.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Escenario Espacios verdes activo</w:t>
      </w:r>
    </w:p>
    <w:p>
      <w:pPr>
        <w:pStyle w:val="ListBullet"/>
      </w:pPr>
      <w:r>
        <w:t>Metadatos de proveedor y escena revisados</w:t>
      </w:r>
    </w:p>
    <w:p>
      <w:pPr>
        <w:pStyle w:val="ListBullet"/>
      </w:pPr>
      <w:r>
        <w:t>Color natural y falso color</w:t>
      </w:r>
    </w:p>
    <w:p>
      <w:pPr>
        <w:pStyle w:val="ListBullet"/>
      </w:pPr>
      <w:r>
        <w:t>NDVI e identificación de menor vigor</w:t>
      </w:r>
    </w:p>
    <w:p>
      <w:pPr>
        <w:pStyle w:val="ListBullet"/>
      </w:pPr>
      <w:r>
        <w:t>Consulta: árboles estado crítico</w:t>
      </w:r>
    </w:p>
    <w:p>
      <w:pPr>
        <w:pStyle w:val="ListBullet"/>
      </w:pPr>
      <w:r>
        <w:t>Buffer y seleccionar por ubicación</w:t>
      </w:r>
    </w:p>
    <w:p>
      <w:pPr>
        <w:pStyle w:val="ListBullet"/>
      </w:pPr>
      <w:r>
        <w:t>Resumen exportado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