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 · Recorrido Incendios (M8)</w:t>
      </w:r>
    </w:p>
    <w:p>
      <w:r>
        <w:rPr>
          <w:sz w:val="22"/>
        </w:rPr>
        <w:t>Capstone · FIRMS · NBR/dNBR · área quemada · Del píxel a la decisión</w:t>
      </w:r>
    </w:p>
    <w:p>
      <w:r>
        <w:rPr>
          <w:sz w:val="22"/>
        </w:rPr>
        <w:t>URL: https://lmbsoft.github.io/curza-stic/sig-teledeteccion-autonomo.html</w:t>
      </w:r>
    </w:p>
    <w:p>
      <w:r>
        <w:rPr>
          <w:sz w:val="22"/>
        </w:rPr>
        <w:t>Video: sig-carrera-incendios-charon.mp4 (soft subs). Recorrido demo docente.</w:t>
      </w:r>
    </w:p>
    <w:p>
      <w:r>
        <w:rPr>
          <w:b/>
          <w:color w:val="1A568A"/>
          <w:sz w:val="26"/>
        </w:rPr>
        <w:t>Paso 1. Contexto M8</w:t>
      </w:r>
    </w:p>
    <w:p>
      <w:r>
        <w:rPr>
          <w:sz w:val="22"/>
        </w:rPr>
        <w:t>Caso integral: foco ≠ perímetro.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Módulo 8 en la lista.</w:t>
      </w:r>
    </w:p>
    <w:p>
      <w:r>
        <w:rPr>
          <w:b/>
          <w:color w:val="1A568A"/>
          <w:sz w:val="26"/>
        </w:rPr>
        <w:t>Paso 2. Consignas</w:t>
      </w:r>
    </w:p>
    <w:p>
      <w:r>
        <w:rPr>
          <w:sz w:val="22"/>
        </w:rPr>
        <w:t>Modo guiado del caso incendio.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Checks del módulo 8.</w:t>
      </w:r>
    </w:p>
    <w:p>
      <w:r>
        <w:rPr>
          <w:b/>
          <w:color w:val="1A568A"/>
          <w:sz w:val="26"/>
        </w:rPr>
        <w:t>Paso 3. Perfil Incendios</w:t>
      </w:r>
    </w:p>
    <w:p>
      <w:r>
        <w:rPr>
          <w:sz w:val="22"/>
        </w:rPr>
        <w:t>Selector → Incendios y territorio.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Panel FIRMS visible.</w:t>
      </w:r>
    </w:p>
    <w:p>
      <w:r>
        <w:rPr>
          <w:b/>
          <w:color w:val="1A568A"/>
          <w:sz w:val="26"/>
        </w:rPr>
        <w:t>Paso 4. Día 6</w:t>
      </w:r>
    </w:p>
    <w:p>
      <w:r>
        <w:rPr>
          <w:sz w:val="22"/>
        </w:rPr>
        <w:t>Avanzá focos hasta el día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Ausencia ≠ no fuego.</w:t>
      </w:r>
    </w:p>
    <w:p>
      <w:r>
        <w:rPr>
          <w:b/>
          <w:color w:val="1A568A"/>
          <w:sz w:val="26"/>
        </w:rPr>
        <w:t>Paso 5. NBR</w:t>
      </w:r>
    </w:p>
    <w:p>
      <w:r>
        <w:rPr>
          <w:sz w:val="22"/>
        </w:rPr>
        <w:t>Composición NBR.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NIR y SWIR.</w:t>
      </w:r>
    </w:p>
    <w:p>
      <w:r>
        <w:rPr>
          <w:b/>
          <w:color w:val="1A568A"/>
          <w:sz w:val="26"/>
        </w:rPr>
        <w:t>Paso 6. dNBR</w:t>
      </w:r>
    </w:p>
    <w:p>
      <w:r>
        <w:rPr>
          <w:sz w:val="22"/>
        </w:rPr>
        <w:t>dNBR pre−post.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Base de severidad didáctica.</w:t>
      </w:r>
    </w:p>
    <w:p>
      <w:r>
        <w:rPr>
          <w:b/>
          <w:color w:val="1A568A"/>
          <w:sz w:val="26"/>
        </w:rPr>
        <w:t>Paso 7. Consulta focos</w:t>
      </w:r>
    </w:p>
    <w:p>
      <w:r>
        <w:rPr>
          <w:sz w:val="22"/>
        </w:rPr>
        <w:t>Confianza nominal o alta.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7</w:t>
      </w:r>
    </w:p>
    <w:p>
      <w:r>
        <w:rPr>
          <w:b/>
          <w:sz w:val="20"/>
        </w:rPr>
        <w:t>Tip: Tabla filtrada.</w:t>
      </w:r>
    </w:p>
    <w:p>
      <w:r>
        <w:rPr>
          <w:b/>
          <w:color w:val="1A568A"/>
          <w:sz w:val="26"/>
        </w:rPr>
        <w:t>Paso 8. Clasificar quemada</w:t>
      </w:r>
    </w:p>
    <w:p>
      <w:r>
        <w:rPr>
          <w:sz w:val="22"/>
        </w:rPr>
        <w:t>Clasificar desde dNBR.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8</w:t>
      </w:r>
    </w:p>
    <w:p>
      <w:r>
        <w:rPr>
          <w:b/>
          <w:sz w:val="20"/>
        </w:rPr>
        <w:t>Tip: Didáctico; validar en real.</w:t>
      </w:r>
    </w:p>
    <w:p>
      <w:r>
        <w:rPr>
          <w:b/>
          <w:color w:val="1A568A"/>
          <w:sz w:val="26"/>
        </w:rPr>
        <w:t>Paso 9. Buffer</w:t>
      </w:r>
    </w:p>
    <w:p>
      <w:r>
        <w:rPr>
          <w:sz w:val="22"/>
        </w:rPr>
        <w:t>Buffer sobre focos.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9</w:t>
      </w:r>
    </w:p>
    <w:p>
      <w:r>
        <w:rPr>
          <w:b/>
          <w:sz w:val="20"/>
        </w:rPr>
        <w:t>Tip: Exposición, no perímetro.</w:t>
      </w:r>
    </w:p>
    <w:p>
      <w:r>
        <w:rPr>
          <w:b/>
          <w:color w:val="1A568A"/>
          <w:sz w:val="26"/>
        </w:rPr>
        <w:t>Paso 10. Cruzar capas</w:t>
      </w:r>
    </w:p>
    <w:p>
      <w:r>
        <w:rPr>
          <w:sz w:val="22"/>
        </w:rPr>
        <w:t>Seleccionar por ubicación vs dNBR.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10</w:t>
      </w:r>
    </w:p>
    <w:p>
      <w:r>
        <w:rPr>
          <w:b/>
          <w:sz w:val="20"/>
        </w:rPr>
        <w:t>Tip: Cruce con exposición.</w:t>
      </w:r>
    </w:p>
    <w:p>
      <w:r>
        <w:rPr>
          <w:b/>
          <w:color w:val="1A568A"/>
          <w:sz w:val="26"/>
        </w:rPr>
        <w:t>Paso 11. Exportar</w:t>
      </w:r>
    </w:p>
    <w:p>
      <w:r>
        <w:rPr>
          <w:sz w:val="22"/>
        </w:rPr>
        <w:t>Resumen con límites del método.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11</w:t>
      </w:r>
    </w:p>
    <w:p>
      <w:r>
        <w:rPr>
          <w:b/>
          <w:sz w:val="20"/>
        </w:rPr>
        <w:t>Tip: Focos orientan; quemada se estima.</w:t>
      </w:r>
    </w:p>
    <w:p>
      <w:r>
        <w:rPr>
          <w:b/>
          <w:color w:val="1A568A"/>
          <w:sz w:val="26"/>
        </w:rPr>
        <w:t>Paso 12. Cierre</w:t>
      </w:r>
    </w:p>
    <w:p>
      <w:r>
        <w:rPr>
          <w:sz w:val="22"/>
        </w:rPr>
        <w:t>Misión incendio completa.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12</w:t>
      </w:r>
    </w:p>
    <w:p>
      <w:r>
        <w:rPr>
          <w:b/>
          <w:sz w:val="20"/>
        </w:rPr>
        <w:t>Tip: Lab II: Los Alerces.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Perfil Incendios activo</w:t>
      </w:r>
    </w:p>
    <w:p>
      <w:pPr>
        <w:pStyle w:val="ListBullet"/>
      </w:pPr>
      <w:r>
        <w:t>Focos hasta día 6</w:t>
      </w:r>
    </w:p>
    <w:p>
      <w:pPr>
        <w:pStyle w:val="ListBullet"/>
      </w:pPr>
      <w:r>
        <w:t>NBR y dNBR visualizados</w:t>
      </w:r>
    </w:p>
    <w:p>
      <w:pPr>
        <w:pStyle w:val="ListBullet"/>
      </w:pPr>
      <w:r>
        <w:t>Consulta focos confianza nominal/alta</w:t>
      </w:r>
    </w:p>
    <w:p>
      <w:pPr>
        <w:pStyle w:val="ListBullet"/>
      </w:pPr>
      <w:r>
        <w:t>Área quemada clasificada desde dNBR</w:t>
      </w:r>
    </w:p>
    <w:p>
      <w:pPr>
        <w:pStyle w:val="ListBullet"/>
      </w:pPr>
      <w:r>
        <w:t>Buffer y cruce por ubicación</w:t>
      </w:r>
    </w:p>
    <w:p>
      <w:pPr>
        <w:pStyle w:val="ListBullet"/>
      </w:pPr>
      <w:r>
        <w:t>Resumen exportado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