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S3: Bandas y color</w:t>
      </w:r>
    </w:p>
    <w:p>
      <w:r>
        <w:rPr>
          <w:sz w:val="22"/>
        </w:rPr>
        <w:t>Módulo 3 · Raster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sig-s3-bandas-color-charon.mp4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Secuencia tres: Bandas y color. Una imagen satelital no tiene un único color.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simbología multibanda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Elegí Color natural cuatro tres dos. Sirve para orientarse en la escena.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simbología multibanda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Ahora Falso color cinco cuatro tres. Destaca vegetación. Componer bandas es una decisión de lectura.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simbología multibanda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En QGIS harías lo mismo en propiedades de capa, simbología multibanda, asignando bandas a rojo, verde y azul.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simbología multibanda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Módulo tres listo. Siguiente: índices y contraste con NDVI.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simbología multibanda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Color natural 4-3-2</w:t>
      </w:r>
    </w:p>
    <w:p>
      <w:pPr>
        <w:pStyle w:val="ListBullet"/>
      </w:pPr>
      <w:r>
        <w:t>Falso color 5-4-3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