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S4: Índices y contraste</w:t>
      </w:r>
    </w:p>
    <w:p>
      <w:r>
        <w:rPr>
          <w:sz w:val="22"/>
        </w:rPr>
        <w:t>Módulo 4 · Raster NDVI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sig-s4-indices-contraste-charon.mp4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Secuencia cuatro: Índices y contraste. Un índice resume una relación entre bandas.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calculadora ráster · pseudocolor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Visualizá NDVI. Compara infrarrojo cercano y rojo. Es un indicio de vigor, no una sentencia sobre la salud de una planta.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calculadora ráster · pseudocolor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Ajustá el contraste con los deslizadores. El estiramiento cambia qué patrones saltan a la vista.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calculadora ráster · pseudocolor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Identificá una zona de menor vigor en el mapa. Anotá el valor leído en el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calculadora ráster · pseudocolor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Módulo cuatro listo. Los recorridos por carrera usan este NDVI junto a la consulta vectorial del perfil.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calculadora ráster · pseudocolor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NDVI visible</w:t>
      </w:r>
    </w:p>
    <w:p>
      <w:pPr>
        <w:pStyle w:val="ListBullet"/>
      </w:pPr>
      <w:r>
        <w:t>Contraste ajustado</w:t>
      </w:r>
    </w:p>
    <w:p>
      <w:pPr>
        <w:pStyle w:val="ListBullet"/>
      </w:pPr>
      <w:r>
        <w:t>Zona de menor vigor identificada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