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08D6A" w14:textId="0129BE6D" w:rsidR="002F7196" w:rsidRPr="006A2955" w:rsidRDefault="006A2955">
      <w:pPr>
        <w:rPr>
          <w:rFonts w:ascii="Cambria" w:hAnsi="Cambria"/>
          <w:b/>
          <w:bCs/>
        </w:rPr>
      </w:pPr>
      <w:r w:rsidRPr="006A2955">
        <w:rPr>
          <w:rFonts w:ascii="Cambria" w:hAnsi="Cambria"/>
          <w:b/>
          <w:bCs/>
        </w:rPr>
        <w:t>Methods</w:t>
      </w:r>
    </w:p>
    <w:p w14:paraId="397B17B1" w14:textId="6DB68C57" w:rsidR="006A2955" w:rsidRDefault="006A2955">
      <w:pPr>
        <w:rPr>
          <w:rFonts w:ascii="Cambria" w:hAnsi="Cambria"/>
        </w:rPr>
      </w:pPr>
    </w:p>
    <w:p w14:paraId="0F32DC72" w14:textId="573545BD" w:rsidR="00DA1F42" w:rsidRPr="00DA1F42" w:rsidRDefault="00DA1F42">
      <w:pPr>
        <w:rPr>
          <w:rFonts w:ascii="Cambria" w:hAnsi="Cambria"/>
          <w:i/>
          <w:iCs/>
        </w:rPr>
      </w:pPr>
      <w:r w:rsidRPr="00DA1F42">
        <w:rPr>
          <w:rFonts w:ascii="Cambria" w:hAnsi="Cambria"/>
          <w:i/>
          <w:iCs/>
        </w:rPr>
        <w:t>Quantification of host plant richness and divergence</w:t>
      </w:r>
    </w:p>
    <w:p w14:paraId="0089DAD0" w14:textId="31C14824" w:rsidR="00DA1F42" w:rsidRDefault="00DA1F42">
      <w:pPr>
        <w:rPr>
          <w:rFonts w:ascii="Cambria" w:hAnsi="Cambria"/>
        </w:rPr>
      </w:pPr>
    </w:p>
    <w:p w14:paraId="15A3C323" w14:textId="77F4515A" w:rsidR="003B5E97" w:rsidRPr="00DA1F42" w:rsidRDefault="00DA1F42" w:rsidP="003B5E97">
      <w:pPr>
        <w:rPr>
          <w:rFonts w:ascii="Cambria" w:hAnsi="Cambria"/>
        </w:rPr>
      </w:pPr>
      <w:r w:rsidRPr="00DA1F42">
        <w:rPr>
          <w:rFonts w:ascii="Cambria" w:hAnsi="Cambria" w:hint="eastAsia"/>
        </w:rPr>
        <w:t>F</w:t>
      </w:r>
      <w:r>
        <w:rPr>
          <w:rFonts w:ascii="Cambria" w:hAnsi="Cambria"/>
        </w:rPr>
        <w:t>or each butterfly species that feed on seed plants</w:t>
      </w:r>
      <w:r w:rsidRPr="00DA1F42">
        <w:rPr>
          <w:rFonts w:ascii="Cambria" w:hAnsi="Cambria" w:hint="eastAsia"/>
        </w:rPr>
        <w:t xml:space="preserve">, we </w:t>
      </w:r>
      <w:r w:rsidR="00187E8A">
        <w:rPr>
          <w:rFonts w:ascii="Cambria" w:hAnsi="Cambria" w:hint="eastAsia"/>
        </w:rPr>
        <w:t>quanti</w:t>
      </w:r>
      <w:r w:rsidR="00187E8A">
        <w:rPr>
          <w:rFonts w:ascii="Cambria" w:hAnsi="Cambria"/>
        </w:rPr>
        <w:t xml:space="preserve">fied </w:t>
      </w:r>
      <w:r w:rsidR="008E19A7">
        <w:rPr>
          <w:rFonts w:ascii="Cambria" w:hAnsi="Cambria"/>
        </w:rPr>
        <w:t xml:space="preserve">the </w:t>
      </w:r>
      <w:r w:rsidRPr="00DA1F42">
        <w:rPr>
          <w:rFonts w:ascii="Cambria" w:hAnsi="Cambria" w:hint="eastAsia"/>
        </w:rPr>
        <w:t xml:space="preserve">host </w:t>
      </w:r>
      <w:r>
        <w:rPr>
          <w:rFonts w:ascii="Cambria" w:hAnsi="Cambria"/>
        </w:rPr>
        <w:t>plant</w:t>
      </w:r>
      <w:r w:rsidRPr="00DA1F42">
        <w:rPr>
          <w:rFonts w:ascii="Cambria" w:hAnsi="Cambria" w:hint="eastAsia"/>
        </w:rPr>
        <w:t xml:space="preserve"> richness and </w:t>
      </w:r>
      <w:r w:rsidR="008E19A7">
        <w:rPr>
          <w:rFonts w:ascii="Cambria" w:hAnsi="Cambria"/>
        </w:rPr>
        <w:t>d</w:t>
      </w:r>
      <w:r w:rsidR="003B5E97">
        <w:rPr>
          <w:rFonts w:ascii="Cambria" w:hAnsi="Cambria"/>
        </w:rPr>
        <w:t>ivergence</w:t>
      </w:r>
      <w:r w:rsidR="008E19A7">
        <w:rPr>
          <w:rFonts w:ascii="Cambria" w:hAnsi="Cambria"/>
        </w:rPr>
        <w:t xml:space="preserve"> using s</w:t>
      </w:r>
      <w:r w:rsidR="003B5E97">
        <w:rPr>
          <w:rFonts w:ascii="Cambria" w:hAnsi="Cambria"/>
        </w:rPr>
        <w:t>ix</w:t>
      </w:r>
      <w:r w:rsidR="008E19A7">
        <w:rPr>
          <w:rFonts w:ascii="Cambria" w:hAnsi="Cambria"/>
        </w:rPr>
        <w:t xml:space="preserve"> different phylogenetic metrics implemented in the </w:t>
      </w:r>
      <w:r w:rsidR="001A1CE6">
        <w:rPr>
          <w:rFonts w:ascii="Cambria" w:hAnsi="Cambria"/>
        </w:rPr>
        <w:t xml:space="preserve">R </w:t>
      </w:r>
      <w:r w:rsidRPr="00DA1F42">
        <w:rPr>
          <w:rFonts w:ascii="Cambria" w:hAnsi="Cambria" w:hint="eastAsia"/>
        </w:rPr>
        <w:t xml:space="preserve">package </w:t>
      </w:r>
      <w:r w:rsidR="008E19A7">
        <w:rPr>
          <w:rFonts w:ascii="Cambria" w:hAnsi="Cambria"/>
        </w:rPr>
        <w:t xml:space="preserve">picante </w:t>
      </w:r>
      <w:r w:rsidR="00190E43">
        <w:rPr>
          <w:rFonts w:ascii="Cambria" w:hAnsi="Cambria"/>
        </w:rPr>
        <w:fldChar w:fldCharType="begin"/>
      </w:r>
      <w:r w:rsidR="00190E43">
        <w:rPr>
          <w:rFonts w:ascii="Cambria" w:hAnsi="Cambria"/>
        </w:rPr>
        <w:instrText xml:space="preserve"> ADDIN EN.CITE &lt;EndNote&gt;&lt;Cite&gt;&lt;Author&gt;Kembel&lt;/Author&gt;&lt;Year&gt;2010&lt;/Year&gt;&lt;RecNum&gt;1285&lt;/RecNum&gt;&lt;DisplayText&gt;(&lt;style face="italic"&gt;1&lt;/style&gt;)&lt;/DisplayText&gt;&lt;record&gt;&lt;rec-number&gt;1285&lt;/rec-number&gt;&lt;foreign-keys&gt;&lt;key app="EN" db-id="2twpwaxr990vd3ev50rpvvap5tpsxew2zpea" timestamp="1601432473"&gt;1285&lt;/key&gt;&lt;/foreign-keys&gt;&lt;ref-type name="Journal Article"&gt;17&lt;/ref-type&gt;&lt;contributors&gt;&lt;authors&gt;&lt;author&gt;Kembel, Steven W&lt;/author&gt;&lt;author&gt;Cowan, Peter D&lt;/author&gt;&lt;author&gt;Helmus, Matthew R&lt;/author&gt;&lt;author&gt;Cornwell, William K&lt;/author&gt;&lt;author&gt;Morlon, Helene&lt;/author&gt;&lt;author&gt;Ackerly, David D&lt;/author&gt;&lt;author&gt;Blomberg, Simon P&lt;/author&gt;&lt;author&gt;Webb, Campbell O&lt;/author&gt;&lt;/authors&gt;&lt;/contributors&gt;&lt;titles&gt;&lt;title&gt;Picante: R tools for integrating phylogenies and ecology&lt;/title&gt;&lt;secondary-title&gt;Bioinformatics&lt;/secondary-title&gt;&lt;/titles&gt;&lt;periodical&gt;&lt;full-title&gt;Bioinformatics (Oxford, England)&lt;/full-title&gt;&lt;abbr-1&gt;Bioinformatics&lt;/abbr-1&gt;&lt;abbr-2&gt;Bioinformatics&lt;/abbr-2&gt;&lt;/periodical&gt;&lt;pages&gt;1463-1464&lt;/pages&gt;&lt;volume&gt;26&lt;/volume&gt;&lt;number&gt;11&lt;/number&gt;&lt;dates&gt;&lt;year&gt;2010&lt;/year&gt;&lt;/dates&gt;&lt;isbn&gt;1460-2059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190E43">
        <w:rPr>
          <w:rFonts w:ascii="Cambria" w:hAnsi="Cambria"/>
          <w:noProof/>
        </w:rPr>
        <w:t>(</w:t>
      </w:r>
      <w:r w:rsidR="00190E43" w:rsidRPr="00190E43">
        <w:rPr>
          <w:rFonts w:ascii="Cambria" w:hAnsi="Cambria"/>
          <w:i/>
          <w:noProof/>
        </w:rPr>
        <w:t>1</w:t>
      </w:r>
      <w:r w:rsidR="00190E43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2C5C81">
        <w:rPr>
          <w:rFonts w:ascii="Cambria" w:hAnsi="Cambria"/>
        </w:rPr>
        <w:t>. T</w:t>
      </w:r>
      <w:r w:rsidR="005C7EE8">
        <w:rPr>
          <w:rFonts w:ascii="Cambria" w:hAnsi="Cambria"/>
        </w:rPr>
        <w:t>o quantify the host plant richness, t</w:t>
      </w:r>
      <w:r w:rsidR="003B5E97">
        <w:rPr>
          <w:rFonts w:ascii="Cambria" w:hAnsi="Cambria"/>
        </w:rPr>
        <w:t xml:space="preserve">he </w:t>
      </w:r>
      <w:r w:rsidR="002C5C81">
        <w:rPr>
          <w:rFonts w:ascii="Cambria" w:hAnsi="Cambria"/>
        </w:rPr>
        <w:t xml:space="preserve">raw </w:t>
      </w:r>
      <w:r w:rsidR="003B5E97">
        <w:rPr>
          <w:rFonts w:ascii="Cambria" w:hAnsi="Cambria"/>
        </w:rPr>
        <w:t>number of host plant families</w:t>
      </w:r>
      <w:r w:rsidR="002C5C81">
        <w:rPr>
          <w:rFonts w:ascii="Cambria" w:hAnsi="Cambria"/>
        </w:rPr>
        <w:t xml:space="preserve"> and</w:t>
      </w:r>
      <w:r w:rsidR="003B5E97" w:rsidRPr="00DA1F42">
        <w:rPr>
          <w:rFonts w:ascii="Cambria" w:hAnsi="Cambria"/>
        </w:rPr>
        <w:t xml:space="preserve"> Faith's PD</w:t>
      </w:r>
      <w:r w:rsidR="002C5C81">
        <w:rPr>
          <w:rFonts w:ascii="Cambria" w:hAnsi="Cambria"/>
        </w:rPr>
        <w:t xml:space="preserve"> are used</w:t>
      </w:r>
      <w:r w:rsidR="005C7EE8">
        <w:rPr>
          <w:rFonts w:ascii="Cambria" w:hAnsi="Cambria"/>
        </w:rPr>
        <w:t>. To quantify the host plant divergence, t</w:t>
      </w:r>
      <w:r w:rsidR="002C5C81">
        <w:rPr>
          <w:rFonts w:ascii="Cambria" w:hAnsi="Cambria"/>
        </w:rPr>
        <w:t>he</w:t>
      </w:r>
      <w:r w:rsidR="003B5E97" w:rsidRPr="00DA1F42">
        <w:rPr>
          <w:rFonts w:ascii="Cambria" w:hAnsi="Cambria"/>
        </w:rPr>
        <w:t xml:space="preserve"> </w:t>
      </w:r>
      <w:r w:rsidR="002C5C81" w:rsidRPr="00DA1F42">
        <w:rPr>
          <w:rFonts w:ascii="Cambria" w:hAnsi="Cambria"/>
        </w:rPr>
        <w:t>mean pairwise distance (MPD)</w:t>
      </w:r>
      <w:r w:rsidR="002C5C81">
        <w:rPr>
          <w:rFonts w:ascii="Cambria" w:hAnsi="Cambria"/>
        </w:rPr>
        <w:t xml:space="preserve">, </w:t>
      </w:r>
      <w:r w:rsidR="007F30DD">
        <w:rPr>
          <w:rFonts w:ascii="Cambria" w:hAnsi="Cambria"/>
        </w:rPr>
        <w:t xml:space="preserve">the </w:t>
      </w:r>
      <w:r w:rsidR="002C5C81">
        <w:rPr>
          <w:rFonts w:ascii="Cambria" w:hAnsi="Cambria"/>
        </w:rPr>
        <w:t>m</w:t>
      </w:r>
      <w:r w:rsidR="002C5C81" w:rsidRPr="002C5C81">
        <w:rPr>
          <w:rFonts w:ascii="Cambria" w:hAnsi="Cambria"/>
        </w:rPr>
        <w:t xml:space="preserve">ean nearest taxon distance (MNTD), </w:t>
      </w:r>
      <w:r w:rsidR="002C5C81">
        <w:rPr>
          <w:rFonts w:ascii="Cambria" w:hAnsi="Cambria"/>
        </w:rPr>
        <w:t xml:space="preserve">and </w:t>
      </w:r>
      <w:r w:rsidR="007F30DD">
        <w:rPr>
          <w:rFonts w:ascii="Cambria" w:hAnsi="Cambria"/>
        </w:rPr>
        <w:t xml:space="preserve">the </w:t>
      </w:r>
      <w:r w:rsidR="002C5C81" w:rsidRPr="002C5C81">
        <w:rPr>
          <w:rFonts w:ascii="Cambria" w:hAnsi="Cambria"/>
        </w:rPr>
        <w:t>distance-based speciation index (DSI)</w:t>
      </w:r>
      <w:r w:rsidR="002C5C81">
        <w:rPr>
          <w:rFonts w:ascii="Cambria" w:hAnsi="Cambria"/>
        </w:rPr>
        <w:t xml:space="preserve"> are used.</w:t>
      </w:r>
      <w:r w:rsidR="003B5E97">
        <w:rPr>
          <w:rFonts w:ascii="Cambria" w:hAnsi="Cambria"/>
        </w:rPr>
        <w:t xml:space="preserve"> </w:t>
      </w:r>
      <w:r w:rsidR="005C7EE8">
        <w:rPr>
          <w:rFonts w:ascii="Cambria" w:hAnsi="Cambria"/>
        </w:rPr>
        <w:t xml:space="preserve">Here, </w:t>
      </w:r>
      <w:r w:rsidR="00F74A7E">
        <w:rPr>
          <w:rFonts w:ascii="Cambria" w:hAnsi="Cambria"/>
        </w:rPr>
        <w:t>PD</w:t>
      </w:r>
      <w:r w:rsidR="00F74A7E" w:rsidRPr="00DA1F42">
        <w:rPr>
          <w:rFonts w:ascii="Cambria" w:hAnsi="Cambria"/>
        </w:rPr>
        <w:t xml:space="preserve"> is the sum of phylogenetic branch lengths </w:t>
      </w:r>
      <w:r w:rsidR="00190E43">
        <w:rPr>
          <w:rFonts w:ascii="Cambria" w:hAnsi="Cambria"/>
        </w:rPr>
        <w:fldChar w:fldCharType="begin"/>
      </w:r>
      <w:r w:rsidR="00190E43">
        <w:rPr>
          <w:rFonts w:ascii="Cambria" w:hAnsi="Cambria"/>
        </w:rPr>
        <w:instrText xml:space="preserve"> ADDIN EN.CITE &lt;EndNote&gt;&lt;Cite&gt;&lt;Author&gt;Faith&lt;/Author&gt;&lt;Year&gt;1992&lt;/Year&gt;&lt;RecNum&gt;1287&lt;/RecNum&gt;&lt;DisplayText&gt;(&lt;style face="italic"&gt;2&lt;/style&gt;)&lt;/DisplayText&gt;&lt;record&gt;&lt;rec-number&gt;1287&lt;/rec-number&gt;&lt;foreign-keys&gt;&lt;key app="EN" db-id="2twpwaxr990vd3ev50rpvvap5tpsxew2zpea" timestamp="1601592054"&gt;1287&lt;/key&gt;&lt;/foreign-keys&gt;&lt;ref-type name="Journal Article"&gt;17&lt;/ref-type&gt;&lt;contributors&gt;&lt;authors&gt;&lt;author&gt;Faith, Daniel P&lt;/author&gt;&lt;/authors&gt;&lt;/contributors&gt;&lt;titles&gt;&lt;title&gt;Conservation evaluation and phylogenetic diversity&lt;/title&gt;&lt;secondary-title&gt;Biological conservation&lt;/secondary-title&gt;&lt;/titles&gt;&lt;periodical&gt;&lt;full-title&gt;Biological conservation&lt;/full-title&gt;&lt;abbr-1&gt;Biol Conserv&lt;/abbr-1&gt;&lt;abbr-2&gt;Biol. Conserv.&lt;/abbr-2&gt;&lt;/periodical&gt;&lt;pages&gt;1-10&lt;/pages&gt;&lt;volume&gt;61&lt;/volume&gt;&lt;number&gt;1&lt;/number&gt;&lt;dates&gt;&lt;year&gt;1992&lt;/year&gt;&lt;/dates&gt;&lt;isbn&gt;0006-3207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190E43">
        <w:rPr>
          <w:rFonts w:ascii="Cambria" w:hAnsi="Cambria"/>
          <w:noProof/>
        </w:rPr>
        <w:t>(</w:t>
      </w:r>
      <w:r w:rsidR="00190E43" w:rsidRPr="00190E43">
        <w:rPr>
          <w:rFonts w:ascii="Cambria" w:hAnsi="Cambria"/>
          <w:i/>
          <w:noProof/>
        </w:rPr>
        <w:t>2</w:t>
      </w:r>
      <w:r w:rsidR="00190E43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F74A7E">
        <w:rPr>
          <w:rFonts w:ascii="Cambria" w:hAnsi="Cambria"/>
        </w:rPr>
        <w:t xml:space="preserve">. </w:t>
      </w:r>
      <w:r w:rsidR="005C7EE8">
        <w:rPr>
          <w:rFonts w:ascii="Cambria" w:hAnsi="Cambria"/>
        </w:rPr>
        <w:t xml:space="preserve">MPD </w:t>
      </w:r>
      <w:r w:rsidR="003B5E97" w:rsidRPr="00DA1F42">
        <w:rPr>
          <w:rFonts w:ascii="Cambria" w:hAnsi="Cambria"/>
        </w:rPr>
        <w:t xml:space="preserve">is the average distance separating all pairs of species on the phylogenetic tree </w:t>
      </w:r>
      <w:r w:rsidR="00190E43">
        <w:rPr>
          <w:rFonts w:ascii="Cambria" w:hAnsi="Cambria"/>
        </w:rPr>
        <w:fldChar w:fldCharType="begin"/>
      </w:r>
      <w:r w:rsidR="00190E43">
        <w:rPr>
          <w:rFonts w:ascii="Cambria" w:hAnsi="Cambria"/>
        </w:rPr>
        <w:instrText xml:space="preserve"> ADDIN EN.CITE &lt;EndNote&gt;&lt;Cite&gt;&lt;Author&gt;Webb&lt;/Author&gt;&lt;Year&gt;2002&lt;/Year&gt;&lt;RecNum&gt;1288&lt;/RecNum&gt;&lt;DisplayText&gt;(&lt;style face="italic"&gt;3&lt;/style&gt;)&lt;/DisplayText&gt;&lt;record&gt;&lt;rec-number&gt;1288&lt;/rec-number&gt;&lt;foreign-keys&gt;&lt;key app="EN" db-id="2twpwaxr990vd3ev50rpvvap5tpsxew2zpea" timestamp="1601592119"&gt;1288&lt;/key&gt;&lt;/foreign-keys&gt;&lt;ref-type name="Journal Article"&gt;17&lt;/ref-type&gt;&lt;contributors&gt;&lt;authors&gt;&lt;author&gt;Webb, Campbell O&lt;/author&gt;&lt;author&gt;Ackerly, David D&lt;/author&gt;&lt;author&gt;McPeek, Mark A&lt;/author&gt;&lt;author&gt;Donoghue, Michael J&lt;/author&gt;&lt;/authors&gt;&lt;/contributors&gt;&lt;titles&gt;&lt;title&gt;Phylogenies and community ecology&lt;/title&gt;&lt;secondary-title&gt;Annual review of ecology and systematics&lt;/secondary-title&gt;&lt;/titles&gt;&lt;periodical&gt;&lt;full-title&gt;Annual review of ecology and systematics&lt;/full-title&gt;&lt;abbr-1&gt;Annu Rev Ecol Syst&lt;/abbr-1&gt;&lt;abbr-2&gt;Annu Rev Ecol Syst&lt;/abbr-2&gt;&lt;/periodical&gt;&lt;pages&gt;475-505&lt;/pages&gt;&lt;volume&gt;33&lt;/volume&gt;&lt;number&gt;1&lt;/number&gt;&lt;dates&gt;&lt;year&gt;2002&lt;/year&gt;&lt;/dates&gt;&lt;isbn&gt;0066-4162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190E43">
        <w:rPr>
          <w:rFonts w:ascii="Cambria" w:hAnsi="Cambria"/>
          <w:noProof/>
        </w:rPr>
        <w:t>(</w:t>
      </w:r>
      <w:r w:rsidR="00190E43" w:rsidRPr="00190E43">
        <w:rPr>
          <w:rFonts w:ascii="Cambria" w:hAnsi="Cambria"/>
          <w:i/>
          <w:noProof/>
        </w:rPr>
        <w:t>3</w:t>
      </w:r>
      <w:r w:rsidR="00190E43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F74A7E">
        <w:rPr>
          <w:rFonts w:ascii="Cambria" w:hAnsi="Cambria"/>
        </w:rPr>
        <w:t>.</w:t>
      </w:r>
      <w:r w:rsidR="005C7EE8">
        <w:rPr>
          <w:rFonts w:ascii="Cambria" w:hAnsi="Cambria"/>
        </w:rPr>
        <w:t xml:space="preserve"> MNTD</w:t>
      </w:r>
      <w:r w:rsidR="002C5C81" w:rsidRPr="002C5C81">
        <w:rPr>
          <w:rFonts w:ascii="Cambria" w:hAnsi="Cambria"/>
        </w:rPr>
        <w:t xml:space="preserve"> is the mean distance between each species and its closest relative</w:t>
      </w:r>
      <w:r w:rsidR="00F74A7E">
        <w:rPr>
          <w:rFonts w:ascii="Cambria" w:hAnsi="Cambria"/>
        </w:rPr>
        <w:t xml:space="preserve"> </w:t>
      </w:r>
      <w:r w:rsidR="00190E43">
        <w:rPr>
          <w:rFonts w:ascii="Cambria" w:hAnsi="Cambria"/>
        </w:rPr>
        <w:fldChar w:fldCharType="begin"/>
      </w:r>
      <w:r w:rsidR="00190E43">
        <w:rPr>
          <w:rFonts w:ascii="Cambria" w:hAnsi="Cambria"/>
        </w:rPr>
        <w:instrText xml:space="preserve"> ADDIN EN.CITE &lt;EndNote&gt;&lt;Cite&gt;&lt;Author&gt;Webb&lt;/Author&gt;&lt;Year&gt;2002&lt;/Year&gt;&lt;RecNum&gt;1288&lt;/RecNum&gt;&lt;DisplayText&gt;(&lt;style face="italic"&gt;3&lt;/style&gt;)&lt;/DisplayText&gt;&lt;record&gt;&lt;rec-number&gt;1288&lt;/rec-number&gt;&lt;foreign-keys&gt;&lt;key app="EN" db-id="2twpwaxr990vd3ev50rpvvap5tpsxew2zpea" timestamp="1601592119"&gt;1288&lt;/key&gt;&lt;/foreign-keys&gt;&lt;ref-type name="Journal Article"&gt;17&lt;/ref-type&gt;&lt;contributors&gt;&lt;authors&gt;&lt;author&gt;Webb, Campbell O&lt;/author&gt;&lt;author&gt;Ackerly, David D&lt;/author&gt;&lt;author&gt;McPeek, Mark A&lt;/author&gt;&lt;author&gt;Donoghue, Michael J&lt;/author&gt;&lt;/authors&gt;&lt;/contributors&gt;&lt;titles&gt;&lt;title&gt;Phylogenies and community ecology&lt;/title&gt;&lt;secondary-title&gt;Annual review of ecology and systematics&lt;/secondary-title&gt;&lt;/titles&gt;&lt;periodical&gt;&lt;full-title&gt;Annual review of ecology and systematics&lt;/full-title&gt;&lt;abbr-1&gt;Annu Rev Ecol Syst&lt;/abbr-1&gt;&lt;abbr-2&gt;Annu Rev Ecol Syst&lt;/abbr-2&gt;&lt;/periodical&gt;&lt;pages&gt;475-505&lt;/pages&gt;&lt;volume&gt;33&lt;/volume&gt;&lt;number&gt;1&lt;/number&gt;&lt;dates&gt;&lt;year&gt;2002&lt;/year&gt;&lt;/dates&gt;&lt;isbn&gt;0066-4162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190E43">
        <w:rPr>
          <w:rFonts w:ascii="Cambria" w:hAnsi="Cambria"/>
          <w:noProof/>
        </w:rPr>
        <w:t>(</w:t>
      </w:r>
      <w:r w:rsidR="00190E43" w:rsidRPr="00190E43">
        <w:rPr>
          <w:rFonts w:ascii="Cambria" w:hAnsi="Cambria"/>
          <w:i/>
          <w:noProof/>
        </w:rPr>
        <w:t>3</w:t>
      </w:r>
      <w:r w:rsidR="00190E43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2C5C81" w:rsidRPr="002C5C81">
        <w:rPr>
          <w:rFonts w:ascii="Cambria" w:hAnsi="Cambria"/>
        </w:rPr>
        <w:t>.</w:t>
      </w:r>
      <w:r w:rsidR="00F74A7E">
        <w:rPr>
          <w:rFonts w:ascii="Cambria" w:hAnsi="Cambria"/>
        </w:rPr>
        <w:t xml:space="preserve"> DSI </w:t>
      </w:r>
      <w:r w:rsidR="00F74A7E" w:rsidRPr="00F74A7E">
        <w:rPr>
          <w:rFonts w:ascii="Cambria" w:hAnsi="Cambria"/>
        </w:rPr>
        <w:t>is a Z-score</w:t>
      </w:r>
      <w:r w:rsidR="00F74A7E">
        <w:rPr>
          <w:rFonts w:ascii="Cambria" w:hAnsi="Cambria"/>
        </w:rPr>
        <w:t xml:space="preserve"> of MPD or MNTD that</w:t>
      </w:r>
      <w:r w:rsidR="00F74A7E" w:rsidRPr="00F74A7E">
        <w:rPr>
          <w:rFonts w:ascii="Cambria" w:hAnsi="Cambria"/>
        </w:rPr>
        <w:t xml:space="preserve"> measures specialization as a deviation from a random expectation </w:t>
      </w:r>
      <w:r w:rsidR="00190E43">
        <w:rPr>
          <w:rFonts w:ascii="Cambria" w:hAnsi="Cambria"/>
        </w:rPr>
        <w:fldChar w:fldCharType="begin"/>
      </w:r>
      <w:r w:rsidR="00190E43">
        <w:rPr>
          <w:rFonts w:ascii="Cambria" w:hAnsi="Cambria"/>
        </w:rPr>
        <w:instrText xml:space="preserve"> ADDIN EN.CITE &lt;EndNote&gt;&lt;Cite&gt;&lt;Author&gt;Jorge&lt;/Author&gt;&lt;Year&gt;2014&lt;/Year&gt;&lt;RecNum&gt;1289&lt;/RecNum&gt;&lt;DisplayText&gt;(&lt;style face="italic"&gt;4&lt;/style&gt;)&lt;/DisplayText&gt;&lt;record&gt;&lt;rec-number&gt;1289&lt;/rec-number&gt;&lt;foreign-keys&gt;&lt;key app="EN" db-id="2twpwaxr990vd3ev50rpvvap5tpsxew2zp</w:instrText>
      </w:r>
      <w:r w:rsidR="00190E43">
        <w:rPr>
          <w:rFonts w:ascii="Cambria" w:hAnsi="Cambria" w:hint="eastAsia"/>
        </w:rPr>
        <w:instrText>ea" timestamp="1601592168"&gt;1289&lt;/key&gt;&lt;/foreign-keys&gt;&lt;ref-type name="Journal Article"&gt;17&lt;/ref-type&gt;&lt;contributors&gt;&lt;authors&gt;&lt;author&gt;Jorge, Leonardo R&lt;/author&gt;&lt;author&gt;Prado, Paulo I&lt;/author&gt;&lt;author&gt;Almeida</w:instrText>
      </w:r>
      <w:r w:rsidR="00190E43">
        <w:rPr>
          <w:rFonts w:ascii="Cambria" w:hAnsi="Cambria" w:hint="eastAsia"/>
        </w:rPr>
        <w:instrText>‐</w:instrText>
      </w:r>
      <w:r w:rsidR="00190E43">
        <w:rPr>
          <w:rFonts w:ascii="Cambria" w:hAnsi="Cambria" w:hint="eastAsia"/>
        </w:rPr>
        <w:instrText>Neto, M</w:instrText>
      </w:r>
      <w:r w:rsidR="00190E43">
        <w:rPr>
          <w:rFonts w:ascii="Cambria" w:hAnsi="Cambria" w:hint="eastAsia"/>
        </w:rPr>
        <w:instrText>á</w:instrText>
      </w:r>
      <w:r w:rsidR="00190E43">
        <w:rPr>
          <w:rFonts w:ascii="Cambria" w:hAnsi="Cambria" w:hint="eastAsia"/>
        </w:rPr>
        <w:instrText>rio&lt;/author&gt;&lt;author&gt;Lewinsohn, Thomas M&lt;/auth</w:instrText>
      </w:r>
      <w:r w:rsidR="00190E43">
        <w:rPr>
          <w:rFonts w:ascii="Cambria" w:hAnsi="Cambria"/>
        </w:rPr>
        <w:instrText>or&gt;&lt;/authors&gt;&lt;/contributors&gt;&lt;titles&gt;&lt;title&gt;An integrated framework to improve the concept of resource specialisation&lt;/title&gt;&lt;secondary-title&gt;Ecology letters&lt;/secondary-title&gt;&lt;/titles&gt;&lt;periodical&gt;&lt;full-title&gt;Ecology letters&lt;/full-title&gt;&lt;abbr-1&gt;Ecol Lett&lt;/abbr-1&gt;&lt;abbr-2&gt;Ecol. Lett.&lt;/abbr-2&gt;&lt;abbr-3&gt;Osterr Pflegezeitschrift&lt;/abbr-3&gt;&lt;/periodical&gt;&lt;pages&gt;1341-1350&lt;/pages&gt;&lt;volume&gt;17&lt;/volume&gt;&lt;number&gt;11&lt;/number&gt;&lt;dates&gt;&lt;year&gt;2014&lt;/year&gt;&lt;/dates&gt;&lt;isbn&gt;1461-023X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190E43">
        <w:rPr>
          <w:rFonts w:ascii="Cambria" w:hAnsi="Cambria"/>
          <w:noProof/>
        </w:rPr>
        <w:t>(</w:t>
      </w:r>
      <w:r w:rsidR="00190E43" w:rsidRPr="00190E43">
        <w:rPr>
          <w:rFonts w:ascii="Cambria" w:hAnsi="Cambria"/>
          <w:i/>
          <w:noProof/>
        </w:rPr>
        <w:t>4</w:t>
      </w:r>
      <w:r w:rsidR="00190E43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F74A7E">
        <w:rPr>
          <w:rFonts w:ascii="Cambria" w:hAnsi="Cambria"/>
        </w:rPr>
        <w:t>.</w:t>
      </w:r>
    </w:p>
    <w:p w14:paraId="6C3DA95D" w14:textId="02329286" w:rsidR="00DA1F42" w:rsidRPr="00DA1F42" w:rsidRDefault="007F30DD" w:rsidP="00DA1F42">
      <w:pPr>
        <w:rPr>
          <w:rFonts w:ascii="Cambria" w:hAnsi="Cambria"/>
        </w:rPr>
      </w:pPr>
      <w:r>
        <w:rPr>
          <w:rFonts w:ascii="Cambria" w:hAnsi="Cambria"/>
        </w:rPr>
        <w:t>To calculate these metrics, w</w:t>
      </w:r>
      <w:r w:rsidR="009135B8">
        <w:rPr>
          <w:rFonts w:ascii="Cambria" w:hAnsi="Cambria"/>
        </w:rPr>
        <w:t xml:space="preserve">e used the calibrated phylogeny </w:t>
      </w:r>
      <w:r w:rsidR="00580C98">
        <w:rPr>
          <w:rFonts w:ascii="Cambria" w:hAnsi="Cambria"/>
        </w:rPr>
        <w:t xml:space="preserve">of seed plants </w:t>
      </w:r>
      <w:r w:rsidR="009135B8">
        <w:rPr>
          <w:rFonts w:ascii="Cambria" w:hAnsi="Cambria"/>
        </w:rPr>
        <w:t xml:space="preserve">from Smith and Brown </w:t>
      </w:r>
      <w:r w:rsidR="00190E43">
        <w:rPr>
          <w:rFonts w:ascii="Cambria" w:hAnsi="Cambria"/>
        </w:rPr>
        <w:fldChar w:fldCharType="begin"/>
      </w:r>
      <w:r w:rsidR="00190E43">
        <w:rPr>
          <w:rFonts w:ascii="Cambria" w:hAnsi="Cambria"/>
        </w:rPr>
        <w:instrText xml:space="preserve"> ADDIN EN.CITE &lt;EndNote&gt;&lt;Cite&gt;&lt;Author&gt;Smith&lt;/Author&gt;&lt;Year&gt;2018&lt;/Year&gt;&lt;RecNum&gt;1286&lt;/RecNum&gt;&lt;DisplayText&gt;(&lt;style face="italic"&gt;5&lt;/style&gt;)&lt;/DisplayText&gt;&lt;record&gt;&lt;rec-number&gt;1286&lt;/rec-number&gt;&lt;foreign-keys&gt;&lt;key app="EN" db-id="2twpwaxr990vd3ev50rpvvap5tpsxew2zpea" timestamp="1601432635"&gt;1286&lt;/key&gt;&lt;/foreign-keys&gt;&lt;ref-type name="Journal Article"&gt;17&lt;/ref-type&gt;&lt;contributors&gt;&lt;authors&gt;&lt;author&gt;Smith, Stephen A&lt;/author&gt;&lt;author&gt;Brown, Joseph W&lt;/author&gt;&lt;/authors&gt;&lt;/contributors&gt;&lt;titles&gt;&lt;title&gt;Constructing a broadly inclusive seed plant phylogeny&lt;/title&gt;&lt;secondary-title&gt;American journal of botany&lt;/secondary-title&gt;&lt;/titles&gt;&lt;periodical&gt;&lt;full-title&gt;American journal of botany&lt;/full-title&gt;&lt;abbr-1&gt;Am J Bot&lt;/abbr-1&gt;&lt;abbr-2&gt;Am. J. Bot.&lt;/abbr-2&gt;&lt;/periodical&gt;&lt;pages&gt;302-314&lt;/pages&gt;&lt;volume&gt;105&lt;/volume&gt;&lt;number&gt;3&lt;/number&gt;&lt;dates&gt;&lt;year&gt;2018&lt;/year&gt;&lt;/dates&gt;&lt;isbn&gt;0002-9122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190E43">
        <w:rPr>
          <w:rFonts w:ascii="Cambria" w:hAnsi="Cambria"/>
          <w:noProof/>
        </w:rPr>
        <w:t>(</w:t>
      </w:r>
      <w:r w:rsidR="00190E43" w:rsidRPr="00190E43">
        <w:rPr>
          <w:rFonts w:ascii="Cambria" w:hAnsi="Cambria"/>
          <w:i/>
          <w:noProof/>
        </w:rPr>
        <w:t>5</w:t>
      </w:r>
      <w:r w:rsidR="00190E43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9135B8">
        <w:rPr>
          <w:rFonts w:ascii="Cambria" w:hAnsi="Cambria"/>
        </w:rPr>
        <w:t xml:space="preserve"> as reference</w:t>
      </w:r>
      <w:r w:rsidR="003B5E97">
        <w:rPr>
          <w:rFonts w:ascii="Cambria" w:hAnsi="Cambria"/>
        </w:rPr>
        <w:t>. We</w:t>
      </w:r>
      <w:r w:rsidR="009135B8">
        <w:rPr>
          <w:rFonts w:ascii="Cambria" w:hAnsi="Cambria"/>
        </w:rPr>
        <w:t xml:space="preserve"> pruned the tree to </w:t>
      </w:r>
      <w:r w:rsidR="00580C98">
        <w:rPr>
          <w:rFonts w:ascii="Cambria" w:hAnsi="Cambria"/>
        </w:rPr>
        <w:t>include two species per plant family whose divergence time represent the crown group age</w:t>
      </w:r>
      <w:r>
        <w:rPr>
          <w:rFonts w:ascii="Cambria" w:hAnsi="Cambria"/>
        </w:rPr>
        <w:t xml:space="preserve"> for each family</w:t>
      </w:r>
      <w:r w:rsidR="009135B8">
        <w:rPr>
          <w:rFonts w:ascii="Cambria" w:hAnsi="Cambria"/>
        </w:rPr>
        <w:t xml:space="preserve">. </w:t>
      </w:r>
      <w:r w:rsidR="003B5E97">
        <w:rPr>
          <w:rFonts w:ascii="Cambria" w:hAnsi="Cambria"/>
        </w:rPr>
        <w:t>This exercise</w:t>
      </w:r>
      <w:r w:rsidR="00580C98">
        <w:rPr>
          <w:rFonts w:ascii="Cambria" w:hAnsi="Cambria"/>
        </w:rPr>
        <w:t xml:space="preserve"> enabled the calculation of pairwise </w:t>
      </w:r>
      <w:proofErr w:type="gramStart"/>
      <w:r w:rsidR="003B5E97">
        <w:rPr>
          <w:rFonts w:ascii="Cambria" w:hAnsi="Cambria"/>
        </w:rPr>
        <w:t>distance based</w:t>
      </w:r>
      <w:proofErr w:type="gramEnd"/>
      <w:r w:rsidR="003B5E97">
        <w:rPr>
          <w:rFonts w:ascii="Cambria" w:hAnsi="Cambria"/>
        </w:rPr>
        <w:t xml:space="preserve"> measure</w:t>
      </w:r>
      <w:r w:rsidR="00597966">
        <w:rPr>
          <w:rFonts w:ascii="Cambria" w:hAnsi="Cambria"/>
        </w:rPr>
        <w:t>s</w:t>
      </w:r>
      <w:r w:rsidR="003B5E97">
        <w:rPr>
          <w:rFonts w:ascii="Cambria" w:hAnsi="Cambria"/>
        </w:rPr>
        <w:t xml:space="preserve"> </w:t>
      </w:r>
      <w:r w:rsidR="00597966">
        <w:rPr>
          <w:rFonts w:ascii="Cambria" w:hAnsi="Cambria"/>
        </w:rPr>
        <w:t>such as MPD, MNTD, and DSI</w:t>
      </w:r>
      <w:r w:rsidR="003B5E97">
        <w:rPr>
          <w:rFonts w:ascii="Cambria" w:hAnsi="Cambria"/>
        </w:rPr>
        <w:t xml:space="preserve"> for monophagous butterflies that feed on only one plant family</w:t>
      </w:r>
      <w:r w:rsidR="00580C98">
        <w:rPr>
          <w:rFonts w:ascii="Cambria" w:hAnsi="Cambria"/>
        </w:rPr>
        <w:t>.</w:t>
      </w:r>
      <w:r w:rsidR="003B5E97">
        <w:rPr>
          <w:rFonts w:ascii="Cambria" w:hAnsi="Cambria"/>
        </w:rPr>
        <w:t xml:space="preserve"> </w:t>
      </w:r>
      <w:r w:rsidR="007018AA">
        <w:rPr>
          <w:rFonts w:ascii="Cambria" w:hAnsi="Cambria"/>
        </w:rPr>
        <w:t xml:space="preserve">Finally, the function </w:t>
      </w:r>
      <w:r w:rsidR="007018AA" w:rsidRPr="00320292">
        <w:rPr>
          <w:rFonts w:ascii="Cambria" w:hAnsi="Cambria"/>
          <w:i/>
          <w:iCs/>
        </w:rPr>
        <w:t>pd</w:t>
      </w:r>
      <w:r w:rsidR="007018AA">
        <w:rPr>
          <w:rFonts w:ascii="Cambria" w:hAnsi="Cambria"/>
        </w:rPr>
        <w:t xml:space="preserve">, </w:t>
      </w:r>
      <w:proofErr w:type="spellStart"/>
      <w:r w:rsidR="00320292" w:rsidRPr="00320292">
        <w:rPr>
          <w:rFonts w:ascii="Cambria" w:hAnsi="Cambria"/>
          <w:i/>
          <w:iCs/>
        </w:rPr>
        <w:t>ses.mpd</w:t>
      </w:r>
      <w:proofErr w:type="spellEnd"/>
      <w:r w:rsidR="00320292">
        <w:rPr>
          <w:rFonts w:ascii="Cambria" w:hAnsi="Cambria"/>
        </w:rPr>
        <w:t xml:space="preserve">, and </w:t>
      </w:r>
      <w:proofErr w:type="spellStart"/>
      <w:proofErr w:type="gramStart"/>
      <w:r w:rsidR="00320292" w:rsidRPr="00320292">
        <w:rPr>
          <w:rFonts w:ascii="Cambria" w:hAnsi="Cambria"/>
          <w:i/>
          <w:iCs/>
        </w:rPr>
        <w:t>ses.mntd</w:t>
      </w:r>
      <w:proofErr w:type="spellEnd"/>
      <w:proofErr w:type="gramEnd"/>
      <w:r w:rsidR="007018AA">
        <w:rPr>
          <w:rFonts w:ascii="Cambria" w:hAnsi="Cambria"/>
        </w:rPr>
        <w:t xml:space="preserve"> were </w:t>
      </w:r>
      <w:r w:rsidR="00320292">
        <w:rPr>
          <w:rFonts w:ascii="Cambria" w:hAnsi="Cambria"/>
        </w:rPr>
        <w:t xml:space="preserve">used to calculate these phylogenetic metrics </w:t>
      </w:r>
      <w:r w:rsidR="007018AA">
        <w:rPr>
          <w:rFonts w:ascii="Cambria" w:hAnsi="Cambria"/>
        </w:rPr>
        <w:t xml:space="preserve">using </w:t>
      </w:r>
      <w:r w:rsidR="00320292">
        <w:rPr>
          <w:rFonts w:ascii="Cambria" w:hAnsi="Cambria"/>
        </w:rPr>
        <w:t>1000 replicates</w:t>
      </w:r>
      <w:r w:rsidR="00320292" w:rsidRPr="00320292">
        <w:rPr>
          <w:rFonts w:ascii="Cambria" w:hAnsi="Cambria"/>
        </w:rPr>
        <w:t xml:space="preserve"> </w:t>
      </w:r>
      <w:r w:rsidR="00320292">
        <w:rPr>
          <w:rFonts w:ascii="Cambria" w:hAnsi="Cambria"/>
        </w:rPr>
        <w:t>in picante. The R script is available on GitHub (</w:t>
      </w:r>
      <w:r w:rsidR="00320292" w:rsidRPr="00320292">
        <w:rPr>
          <w:rFonts w:ascii="Cambria" w:hAnsi="Cambria"/>
        </w:rPr>
        <w:t>https://github.com/lmcai/BNet-PD-analysis</w:t>
      </w:r>
      <w:r w:rsidR="00320292">
        <w:rPr>
          <w:rFonts w:ascii="Cambria" w:hAnsi="Cambria"/>
        </w:rPr>
        <w:t>).</w:t>
      </w:r>
    </w:p>
    <w:p w14:paraId="5EF956CE" w14:textId="1E8412DA" w:rsidR="00DA1F42" w:rsidRDefault="00DA1F42">
      <w:pPr>
        <w:rPr>
          <w:rFonts w:ascii="Cambria" w:hAnsi="Cambria"/>
        </w:rPr>
      </w:pPr>
    </w:p>
    <w:p w14:paraId="08042E53" w14:textId="77777777" w:rsidR="00BC3B31" w:rsidRPr="006F444C" w:rsidRDefault="00BC3B31" w:rsidP="00BC3B31">
      <w:pPr>
        <w:rPr>
          <w:rFonts w:ascii="Cambria" w:hAnsi="Cambria"/>
          <w:b/>
          <w:bCs/>
        </w:rPr>
      </w:pPr>
      <w:r w:rsidRPr="006F444C">
        <w:rPr>
          <w:rFonts w:ascii="Cambria" w:hAnsi="Cambria"/>
          <w:b/>
          <w:bCs/>
        </w:rPr>
        <w:t>Results</w:t>
      </w:r>
    </w:p>
    <w:p w14:paraId="5FBFBDCA" w14:textId="0D0DA7F7" w:rsidR="00BC3B31" w:rsidRDefault="00F116B2" w:rsidP="00BC3B31">
      <w:pPr>
        <w:rPr>
          <w:rFonts w:ascii="Cambria" w:hAnsi="Cambria"/>
        </w:rPr>
      </w:pPr>
      <w:r>
        <w:rPr>
          <w:rFonts w:ascii="Cambria" w:hAnsi="Cambria" w:hint="eastAsia"/>
        </w:rPr>
        <w:t>T</w:t>
      </w:r>
      <w:r w:rsidR="0097650D">
        <w:rPr>
          <w:rFonts w:ascii="Cambria" w:hAnsi="Cambria"/>
        </w:rPr>
        <w:t xml:space="preserve">he 1,316 herbivorous Lepidoptera sampled </w:t>
      </w:r>
      <w:r w:rsidR="00D8512E">
        <w:rPr>
          <w:rFonts w:ascii="Cambria" w:hAnsi="Cambria"/>
        </w:rPr>
        <w:t>here</w:t>
      </w:r>
      <w:r w:rsidRPr="00F116B2">
        <w:rPr>
          <w:rFonts w:ascii="Cambria" w:hAnsi="Cambria"/>
        </w:rPr>
        <w:t xml:space="preserve"> </w:t>
      </w:r>
      <w:r>
        <w:rPr>
          <w:rFonts w:ascii="Cambria" w:hAnsi="Cambria"/>
        </w:rPr>
        <w:t>on average feed on 1.7 plant families and</w:t>
      </w:r>
      <w:r w:rsidR="0097650D">
        <w:rPr>
          <w:rFonts w:ascii="Cambria" w:hAnsi="Cambria"/>
        </w:rPr>
        <w:t xml:space="preserve"> </w:t>
      </w:r>
      <w:r>
        <w:rPr>
          <w:rFonts w:ascii="Cambria" w:hAnsi="Cambria"/>
        </w:rPr>
        <w:t>68.0% of the</w:t>
      </w:r>
      <w:r w:rsidR="00D631CE">
        <w:rPr>
          <w:rFonts w:ascii="Cambria" w:hAnsi="Cambria"/>
        </w:rPr>
        <w:t>m</w:t>
      </w:r>
      <w:r>
        <w:rPr>
          <w:rFonts w:ascii="Cambria" w:hAnsi="Cambria"/>
        </w:rPr>
        <w:t xml:space="preserve"> are </w:t>
      </w:r>
      <w:commentRangeStart w:id="0"/>
      <w:r>
        <w:rPr>
          <w:rFonts w:ascii="Cambria" w:hAnsi="Cambria"/>
        </w:rPr>
        <w:t>monophagous</w:t>
      </w:r>
      <w:commentRangeEnd w:id="0"/>
      <w:r>
        <w:rPr>
          <w:rStyle w:val="CommentReference"/>
        </w:rPr>
        <w:commentReference w:id="0"/>
      </w:r>
      <w:r w:rsidR="0097650D">
        <w:rPr>
          <w:rFonts w:ascii="Cambria" w:hAnsi="Cambria"/>
        </w:rPr>
        <w:t>.</w:t>
      </w:r>
      <w:r w:rsidR="00402FC4">
        <w:rPr>
          <w:rFonts w:ascii="Cambria" w:hAnsi="Cambria"/>
        </w:rPr>
        <w:t xml:space="preserve"> </w:t>
      </w:r>
      <w:r w:rsidR="00091A06">
        <w:rPr>
          <w:rFonts w:ascii="Cambria" w:hAnsi="Cambria"/>
        </w:rPr>
        <w:t>Among polyphag</w:t>
      </w:r>
      <w:r w:rsidR="00EC646C">
        <w:rPr>
          <w:rFonts w:ascii="Cambria" w:hAnsi="Cambria"/>
        </w:rPr>
        <w:t>o</w:t>
      </w:r>
      <w:r w:rsidR="00091A06">
        <w:rPr>
          <w:rFonts w:ascii="Cambria" w:hAnsi="Cambria"/>
        </w:rPr>
        <w:t>us species</w:t>
      </w:r>
      <w:r w:rsidR="00D631CE">
        <w:rPr>
          <w:rFonts w:ascii="Cambria" w:hAnsi="Cambria"/>
        </w:rPr>
        <w:t xml:space="preserve">, </w:t>
      </w:r>
      <w:r w:rsidR="00D631CE" w:rsidRPr="00D631CE">
        <w:rPr>
          <w:rFonts w:ascii="Cambria" w:hAnsi="Cambria"/>
          <w:i/>
          <w:iCs/>
        </w:rPr>
        <w:t xml:space="preserve">Emesis </w:t>
      </w:r>
      <w:proofErr w:type="spellStart"/>
      <w:r w:rsidR="00D631CE" w:rsidRPr="00D631CE">
        <w:rPr>
          <w:rFonts w:ascii="Cambria" w:hAnsi="Cambria"/>
          <w:i/>
          <w:iCs/>
        </w:rPr>
        <w:t>mandana</w:t>
      </w:r>
      <w:proofErr w:type="spellEnd"/>
      <w:r w:rsidR="00D631CE">
        <w:rPr>
          <w:rFonts w:ascii="Cambria" w:hAnsi="Cambria"/>
          <w:i/>
          <w:iCs/>
        </w:rPr>
        <w:t xml:space="preserve"> </w:t>
      </w:r>
      <w:r w:rsidR="00D631CE">
        <w:rPr>
          <w:rFonts w:ascii="Cambria" w:hAnsi="Cambria"/>
        </w:rPr>
        <w:t>(</w:t>
      </w:r>
      <w:proofErr w:type="spellStart"/>
      <w:r w:rsidR="00D631CE" w:rsidRPr="00D631CE">
        <w:rPr>
          <w:rFonts w:ascii="Cambria" w:hAnsi="Cambria"/>
        </w:rPr>
        <w:t>Riodinidae</w:t>
      </w:r>
      <w:proofErr w:type="spellEnd"/>
      <w:r w:rsidR="00D631CE">
        <w:rPr>
          <w:rFonts w:ascii="Cambria" w:hAnsi="Cambria"/>
        </w:rPr>
        <w:t xml:space="preserve">) </w:t>
      </w:r>
      <w:r w:rsidR="001F48D2">
        <w:rPr>
          <w:rFonts w:ascii="Cambria" w:hAnsi="Cambria"/>
        </w:rPr>
        <w:t xml:space="preserve">can </w:t>
      </w:r>
      <w:r w:rsidR="00247E65">
        <w:rPr>
          <w:rFonts w:ascii="Cambria" w:hAnsi="Cambria"/>
        </w:rPr>
        <w:t>feed</w:t>
      </w:r>
      <w:r w:rsidR="00A3679A">
        <w:rPr>
          <w:rFonts w:ascii="Cambria" w:hAnsi="Cambria"/>
        </w:rPr>
        <w:t xml:space="preserve"> on</w:t>
      </w:r>
      <w:r w:rsidR="0026039D">
        <w:rPr>
          <w:rFonts w:ascii="Cambria" w:hAnsi="Cambria"/>
        </w:rPr>
        <w:t xml:space="preserve"> 22 different </w:t>
      </w:r>
      <w:r w:rsidR="00A3679A">
        <w:rPr>
          <w:rFonts w:ascii="Cambria" w:hAnsi="Cambria"/>
        </w:rPr>
        <w:t xml:space="preserve">host </w:t>
      </w:r>
      <w:r w:rsidR="0026039D">
        <w:rPr>
          <w:rFonts w:ascii="Cambria" w:hAnsi="Cambria"/>
        </w:rPr>
        <w:t xml:space="preserve">plant families, making </w:t>
      </w:r>
      <w:r w:rsidR="00CD6018">
        <w:rPr>
          <w:rFonts w:ascii="Cambria" w:hAnsi="Cambria"/>
        </w:rPr>
        <w:t>its diet</w:t>
      </w:r>
      <w:r w:rsidR="00D6232D">
        <w:rPr>
          <w:rFonts w:ascii="Cambria" w:hAnsi="Cambria"/>
        </w:rPr>
        <w:t xml:space="preserve"> the most diverse </w:t>
      </w:r>
      <w:r w:rsidR="00010FE4">
        <w:rPr>
          <w:rFonts w:ascii="Cambria" w:hAnsi="Cambria"/>
        </w:rPr>
        <w:t>one</w:t>
      </w:r>
      <w:r w:rsidR="0065149D">
        <w:rPr>
          <w:rFonts w:ascii="Cambria" w:hAnsi="Cambria"/>
        </w:rPr>
        <w:t xml:space="preserve"> reported </w:t>
      </w:r>
      <w:r w:rsidR="003B7AA3">
        <w:rPr>
          <w:rFonts w:ascii="Cambria" w:hAnsi="Cambria"/>
        </w:rPr>
        <w:t>in this study</w:t>
      </w:r>
      <w:r w:rsidR="00D6232D">
        <w:rPr>
          <w:rFonts w:ascii="Cambria" w:hAnsi="Cambria"/>
        </w:rPr>
        <w:t xml:space="preserve">. </w:t>
      </w:r>
      <w:r w:rsidR="00D94AF6">
        <w:rPr>
          <w:rFonts w:ascii="Cambria" w:hAnsi="Cambria"/>
        </w:rPr>
        <w:t>At</w:t>
      </w:r>
      <w:r w:rsidR="00701E74">
        <w:rPr>
          <w:rFonts w:ascii="Cambria" w:hAnsi="Cambria"/>
        </w:rPr>
        <w:t xml:space="preserve"> the family level, </w:t>
      </w:r>
      <w:proofErr w:type="spellStart"/>
      <w:r w:rsidR="00292776" w:rsidRPr="00292776">
        <w:rPr>
          <w:rFonts w:ascii="Cambria" w:hAnsi="Cambria"/>
        </w:rPr>
        <w:t>Lycaenidae</w:t>
      </w:r>
      <w:proofErr w:type="spellEnd"/>
      <w:r w:rsidR="00292776">
        <w:rPr>
          <w:rFonts w:ascii="Cambria" w:hAnsi="Cambria"/>
        </w:rPr>
        <w:t xml:space="preserve"> and </w:t>
      </w:r>
      <w:proofErr w:type="spellStart"/>
      <w:r w:rsidR="00292776" w:rsidRPr="00292776">
        <w:rPr>
          <w:rFonts w:ascii="Cambria" w:hAnsi="Cambria"/>
        </w:rPr>
        <w:t>Riodinidae</w:t>
      </w:r>
      <w:proofErr w:type="spellEnd"/>
      <w:r w:rsidR="00292776" w:rsidRPr="00292776">
        <w:rPr>
          <w:rFonts w:ascii="Cambria" w:hAnsi="Cambria"/>
        </w:rPr>
        <w:t xml:space="preserve"> </w:t>
      </w:r>
      <w:r w:rsidR="00292776">
        <w:rPr>
          <w:rFonts w:ascii="Cambria" w:hAnsi="Cambria"/>
        </w:rPr>
        <w:t>have the highest host plant richness based on the number and PD of host plant families</w:t>
      </w:r>
      <w:r w:rsidR="005E502F">
        <w:rPr>
          <w:rFonts w:ascii="Cambria" w:hAnsi="Cambria"/>
        </w:rPr>
        <w:t>, respectively</w:t>
      </w:r>
      <w:r w:rsidR="00292776">
        <w:rPr>
          <w:rFonts w:ascii="Cambria" w:hAnsi="Cambria"/>
        </w:rPr>
        <w:t>.</w:t>
      </w:r>
      <w:r w:rsidR="00A3679A">
        <w:rPr>
          <w:rFonts w:ascii="Cambria" w:hAnsi="Cambria"/>
        </w:rPr>
        <w:t xml:space="preserve"> The average number of host plant</w:t>
      </w:r>
      <w:r w:rsidR="00D94AF6">
        <w:rPr>
          <w:rFonts w:ascii="Cambria" w:hAnsi="Cambria"/>
        </w:rPr>
        <w:t xml:space="preserve"> families</w:t>
      </w:r>
      <w:r w:rsidR="00A3679A">
        <w:rPr>
          <w:rFonts w:ascii="Cambria" w:hAnsi="Cambria"/>
        </w:rPr>
        <w:t xml:space="preserve"> is 2.11 in </w:t>
      </w:r>
      <w:proofErr w:type="spellStart"/>
      <w:r w:rsidR="00A3679A">
        <w:rPr>
          <w:rFonts w:ascii="Cambria" w:hAnsi="Cambria"/>
        </w:rPr>
        <w:t>Lycaenidae</w:t>
      </w:r>
      <w:proofErr w:type="spellEnd"/>
      <w:r w:rsidR="00A3679A">
        <w:rPr>
          <w:rFonts w:ascii="Cambria" w:hAnsi="Cambria"/>
        </w:rPr>
        <w:t xml:space="preserve"> and 2.06 in </w:t>
      </w:r>
      <w:proofErr w:type="spellStart"/>
      <w:r w:rsidR="00A3679A" w:rsidRPr="00292776">
        <w:rPr>
          <w:rFonts w:ascii="Cambria" w:hAnsi="Cambria"/>
        </w:rPr>
        <w:t>Riodinidae</w:t>
      </w:r>
      <w:proofErr w:type="spellEnd"/>
      <w:r w:rsidR="007C2A37">
        <w:rPr>
          <w:rFonts w:ascii="Cambria" w:hAnsi="Cambria"/>
        </w:rPr>
        <w:t>;</w:t>
      </w:r>
      <w:r w:rsidR="00A3679A">
        <w:rPr>
          <w:rFonts w:ascii="Cambria" w:hAnsi="Cambria"/>
        </w:rPr>
        <w:t xml:space="preserve"> </w:t>
      </w:r>
      <w:r w:rsidR="0094002E">
        <w:rPr>
          <w:rFonts w:ascii="Cambria" w:hAnsi="Cambria"/>
        </w:rPr>
        <w:t>and</w:t>
      </w:r>
      <w:r w:rsidR="00A3679A">
        <w:rPr>
          <w:rFonts w:ascii="Cambria" w:hAnsi="Cambria"/>
        </w:rPr>
        <w:t xml:space="preserve"> the </w:t>
      </w:r>
      <w:r w:rsidR="0094002E">
        <w:rPr>
          <w:rFonts w:ascii="Cambria" w:hAnsi="Cambria"/>
        </w:rPr>
        <w:t xml:space="preserve">average PD </w:t>
      </w:r>
      <w:r w:rsidR="00D93F6D">
        <w:rPr>
          <w:rFonts w:ascii="Cambria" w:hAnsi="Cambria"/>
        </w:rPr>
        <w:t>is</w:t>
      </w:r>
      <w:r w:rsidR="0094002E">
        <w:rPr>
          <w:rFonts w:ascii="Cambria" w:hAnsi="Cambria"/>
        </w:rPr>
        <w:t xml:space="preserve"> </w:t>
      </w:r>
      <w:r w:rsidR="0094002E" w:rsidRPr="00D94AF6">
        <w:rPr>
          <w:rFonts w:ascii="Cambria" w:hAnsi="Cambria"/>
        </w:rPr>
        <w:t>419.3</w:t>
      </w:r>
      <w:r w:rsidR="0094002E">
        <w:rPr>
          <w:rFonts w:ascii="Cambria" w:hAnsi="Cambria"/>
        </w:rPr>
        <w:t xml:space="preserve"> in </w:t>
      </w:r>
      <w:proofErr w:type="spellStart"/>
      <w:r w:rsidR="0094002E">
        <w:rPr>
          <w:rFonts w:ascii="Cambria" w:hAnsi="Cambria"/>
        </w:rPr>
        <w:t>Lycaenidae</w:t>
      </w:r>
      <w:proofErr w:type="spellEnd"/>
      <w:r w:rsidR="0094002E">
        <w:rPr>
          <w:rFonts w:ascii="Cambria" w:hAnsi="Cambria"/>
        </w:rPr>
        <w:t xml:space="preserve"> and </w:t>
      </w:r>
      <w:r w:rsidR="0094002E" w:rsidRPr="00D94AF6">
        <w:rPr>
          <w:rFonts w:ascii="Cambria" w:hAnsi="Cambria"/>
        </w:rPr>
        <w:t>443</w:t>
      </w:r>
      <w:r w:rsidR="0094002E">
        <w:rPr>
          <w:rFonts w:ascii="Cambria" w:hAnsi="Cambria"/>
        </w:rPr>
        <w:t>.4</w:t>
      </w:r>
      <w:r w:rsidR="008C2B9B">
        <w:rPr>
          <w:rFonts w:ascii="Cambria" w:hAnsi="Cambria"/>
        </w:rPr>
        <w:t xml:space="preserve"> in</w:t>
      </w:r>
      <w:r w:rsidR="00D94AF6">
        <w:rPr>
          <w:rFonts w:ascii="Cambria" w:hAnsi="Cambria"/>
        </w:rPr>
        <w:t xml:space="preserve"> </w:t>
      </w:r>
      <w:proofErr w:type="spellStart"/>
      <w:r w:rsidR="00D94AF6" w:rsidRPr="00292776">
        <w:rPr>
          <w:rFonts w:ascii="Cambria" w:hAnsi="Cambria"/>
        </w:rPr>
        <w:t>Riodinidae</w:t>
      </w:r>
      <w:proofErr w:type="spellEnd"/>
      <w:r w:rsidR="00D94AF6">
        <w:rPr>
          <w:rFonts w:ascii="Cambria" w:hAnsi="Cambria"/>
        </w:rPr>
        <w:t>.</w:t>
      </w:r>
      <w:r w:rsidR="0094002E">
        <w:rPr>
          <w:rFonts w:ascii="Cambria" w:hAnsi="Cambria"/>
        </w:rPr>
        <w:t xml:space="preserve"> </w:t>
      </w:r>
      <w:r w:rsidR="007B2BE2">
        <w:rPr>
          <w:rFonts w:ascii="Cambria" w:hAnsi="Cambria"/>
        </w:rPr>
        <w:t>On the other hand,</w:t>
      </w:r>
      <w:r w:rsidR="007B2BE2" w:rsidRPr="0094002E">
        <w:rPr>
          <w:rFonts w:ascii="Cambria" w:hAnsi="Cambria"/>
        </w:rPr>
        <w:t xml:space="preserve"> </w:t>
      </w:r>
      <w:proofErr w:type="spellStart"/>
      <w:r w:rsidR="0094002E" w:rsidRPr="0094002E">
        <w:rPr>
          <w:rFonts w:ascii="Cambria" w:hAnsi="Cambria"/>
        </w:rPr>
        <w:t>Hesperiidae</w:t>
      </w:r>
      <w:proofErr w:type="spellEnd"/>
      <w:r w:rsidR="0094002E">
        <w:rPr>
          <w:rFonts w:ascii="Cambria" w:hAnsi="Cambria"/>
        </w:rPr>
        <w:t xml:space="preserve"> hav</w:t>
      </w:r>
      <w:r w:rsidR="00C36394">
        <w:rPr>
          <w:rFonts w:ascii="Cambria" w:hAnsi="Cambria"/>
        </w:rPr>
        <w:t xml:space="preserve">e the </w:t>
      </w:r>
      <w:r w:rsidR="00247E65">
        <w:rPr>
          <w:rFonts w:ascii="Cambria" w:hAnsi="Cambria"/>
        </w:rPr>
        <w:t>narrowest diet compared to other families</w:t>
      </w:r>
      <w:r w:rsidR="007B2BE2">
        <w:rPr>
          <w:rFonts w:ascii="Cambria" w:hAnsi="Cambria"/>
        </w:rPr>
        <w:t xml:space="preserve"> with a mean host family number of </w:t>
      </w:r>
      <w:r w:rsidR="00247E65" w:rsidRPr="00247E65">
        <w:rPr>
          <w:rFonts w:ascii="Cambria" w:hAnsi="Cambria"/>
        </w:rPr>
        <w:t>1.3</w:t>
      </w:r>
      <w:r w:rsidR="00247E65">
        <w:rPr>
          <w:rFonts w:ascii="Cambria" w:hAnsi="Cambria"/>
        </w:rPr>
        <w:t xml:space="preserve">5 </w:t>
      </w:r>
      <w:r w:rsidR="007B2BE2">
        <w:rPr>
          <w:rFonts w:ascii="Cambria" w:hAnsi="Cambria"/>
        </w:rPr>
        <w:t>and</w:t>
      </w:r>
      <w:r w:rsidR="00D84589">
        <w:rPr>
          <w:rFonts w:ascii="Cambria" w:hAnsi="Cambria"/>
        </w:rPr>
        <w:t xml:space="preserve"> </w:t>
      </w:r>
      <w:r w:rsidR="007B2BE2">
        <w:rPr>
          <w:rFonts w:ascii="Cambria" w:hAnsi="Cambria"/>
        </w:rPr>
        <w:t xml:space="preserve">mean PD of </w:t>
      </w:r>
      <w:r w:rsidR="00247E65" w:rsidRPr="00247E65">
        <w:rPr>
          <w:rFonts w:ascii="Cambria" w:hAnsi="Cambria"/>
        </w:rPr>
        <w:t>362.6</w:t>
      </w:r>
      <w:r w:rsidR="007B2BE2">
        <w:rPr>
          <w:rFonts w:ascii="Cambria" w:hAnsi="Cambria"/>
        </w:rPr>
        <w:t xml:space="preserve">. </w:t>
      </w:r>
      <w:r w:rsidR="00DB6183">
        <w:rPr>
          <w:rFonts w:ascii="Cambria" w:hAnsi="Cambria"/>
        </w:rPr>
        <w:t>To quantify host divergence</w:t>
      </w:r>
      <w:r w:rsidR="003E0B35">
        <w:rPr>
          <w:rFonts w:ascii="Cambria" w:hAnsi="Cambria"/>
        </w:rPr>
        <w:t>,</w:t>
      </w:r>
      <w:r w:rsidR="00FB17A5">
        <w:rPr>
          <w:rFonts w:ascii="Cambria" w:hAnsi="Cambria"/>
        </w:rPr>
        <w:t xml:space="preserve"> w</w:t>
      </w:r>
      <w:r w:rsidR="004E3354">
        <w:rPr>
          <w:rFonts w:ascii="Cambria" w:hAnsi="Cambria"/>
        </w:rPr>
        <w:t>e used</w:t>
      </w:r>
      <w:r w:rsidR="00061BA1">
        <w:rPr>
          <w:rFonts w:ascii="Cambria" w:hAnsi="Cambria"/>
        </w:rPr>
        <w:t xml:space="preserve"> four measurements</w:t>
      </w:r>
      <w:r w:rsidR="00635028">
        <w:rPr>
          <w:rFonts w:ascii="Cambria" w:hAnsi="Cambria"/>
        </w:rPr>
        <w:t>,</w:t>
      </w:r>
      <w:r w:rsidR="00061BA1">
        <w:rPr>
          <w:rFonts w:ascii="Cambria" w:hAnsi="Cambria"/>
        </w:rPr>
        <w:t xml:space="preserve"> including MPD, MNTD, and two DSI metric</w:t>
      </w:r>
      <w:r w:rsidR="00F209B2">
        <w:rPr>
          <w:rFonts w:ascii="Cambria" w:hAnsi="Cambria"/>
        </w:rPr>
        <w:t>s</w:t>
      </w:r>
      <w:r w:rsidR="000F64E5">
        <w:rPr>
          <w:rFonts w:ascii="Cambria" w:hAnsi="Cambria"/>
        </w:rPr>
        <w:t>.</w:t>
      </w:r>
      <w:r w:rsidR="00F209B2">
        <w:rPr>
          <w:rFonts w:ascii="Cambria" w:hAnsi="Cambria"/>
        </w:rPr>
        <w:t xml:space="preserve"> </w:t>
      </w:r>
      <w:r w:rsidR="008016BA">
        <w:rPr>
          <w:rFonts w:ascii="Cambria" w:hAnsi="Cambria"/>
        </w:rPr>
        <w:t xml:space="preserve">Compared to PD, these divergence metrics </w:t>
      </w:r>
      <w:r w:rsidR="003E4479">
        <w:rPr>
          <w:rFonts w:ascii="Cambria" w:hAnsi="Cambria"/>
        </w:rPr>
        <w:t xml:space="preserve">measure the </w:t>
      </w:r>
      <w:r w:rsidR="003324F1">
        <w:rPr>
          <w:rFonts w:ascii="Cambria" w:hAnsi="Cambria"/>
        </w:rPr>
        <w:t xml:space="preserve">average </w:t>
      </w:r>
      <w:r w:rsidR="00BC0668">
        <w:rPr>
          <w:rFonts w:ascii="Cambria" w:hAnsi="Cambria"/>
        </w:rPr>
        <w:t xml:space="preserve">pairwise distance between </w:t>
      </w:r>
      <w:r w:rsidR="000F64E5">
        <w:rPr>
          <w:rFonts w:ascii="Cambria" w:hAnsi="Cambria"/>
        </w:rPr>
        <w:t>hosts</w:t>
      </w:r>
      <w:r w:rsidR="005E6BD7">
        <w:rPr>
          <w:rFonts w:ascii="Cambria" w:hAnsi="Cambria"/>
        </w:rPr>
        <w:t xml:space="preserve"> (MPD and MNTD) and compare it to a randomly generated null distribution (DSI</w:t>
      </w:r>
      <w:r w:rsidR="000F64E5">
        <w:rPr>
          <w:rFonts w:ascii="Cambria" w:hAnsi="Cambria"/>
        </w:rPr>
        <w:t xml:space="preserve"> metrics</w:t>
      </w:r>
      <w:r w:rsidR="005E6BD7">
        <w:rPr>
          <w:rFonts w:ascii="Cambria" w:hAnsi="Cambria"/>
        </w:rPr>
        <w:t>)</w:t>
      </w:r>
      <w:r w:rsidR="008016BA">
        <w:rPr>
          <w:rFonts w:ascii="Cambria" w:hAnsi="Cambria"/>
        </w:rPr>
        <w:t xml:space="preserve">. </w:t>
      </w:r>
      <w:r w:rsidR="00570444">
        <w:rPr>
          <w:rFonts w:ascii="Cambria" w:hAnsi="Cambria"/>
        </w:rPr>
        <w:t>T</w:t>
      </w:r>
      <w:r w:rsidR="000F64E5">
        <w:rPr>
          <w:rFonts w:ascii="Cambria" w:hAnsi="Cambria"/>
        </w:rPr>
        <w:t>he results are highly consistent</w:t>
      </w:r>
      <w:r w:rsidR="00272B35">
        <w:rPr>
          <w:rFonts w:ascii="Cambria" w:hAnsi="Cambria"/>
        </w:rPr>
        <w:t xml:space="preserve"> when using </w:t>
      </w:r>
      <w:r w:rsidR="006734AA">
        <w:rPr>
          <w:rFonts w:ascii="Cambria" w:hAnsi="Cambria"/>
        </w:rPr>
        <w:t xml:space="preserve">different </w:t>
      </w:r>
      <w:r w:rsidR="00902043">
        <w:rPr>
          <w:rFonts w:ascii="Cambria" w:hAnsi="Cambria"/>
        </w:rPr>
        <w:t>measurements</w:t>
      </w:r>
      <w:r w:rsidR="003F33FA">
        <w:rPr>
          <w:rFonts w:ascii="Cambria" w:hAnsi="Cambria"/>
        </w:rPr>
        <w:t xml:space="preserve"> </w:t>
      </w:r>
      <w:r w:rsidR="006734AA">
        <w:rPr>
          <w:rFonts w:ascii="Cambria" w:hAnsi="Cambria"/>
        </w:rPr>
        <w:t>and w</w:t>
      </w:r>
      <w:r w:rsidR="001D4CD7">
        <w:rPr>
          <w:rFonts w:ascii="Cambria" w:hAnsi="Cambria"/>
        </w:rPr>
        <w:t>e found</w:t>
      </w:r>
      <w:r w:rsidR="00F273E4">
        <w:rPr>
          <w:rFonts w:ascii="Cambria" w:hAnsi="Cambria"/>
        </w:rPr>
        <w:t xml:space="preserve"> </w:t>
      </w:r>
      <w:proofErr w:type="spellStart"/>
      <w:r w:rsidR="001F48D2" w:rsidRPr="007C2A37">
        <w:rPr>
          <w:rFonts w:ascii="Cambria" w:hAnsi="Cambria"/>
        </w:rPr>
        <w:t>Papilionidae</w:t>
      </w:r>
      <w:proofErr w:type="spellEnd"/>
      <w:r w:rsidR="001F48D2">
        <w:rPr>
          <w:rFonts w:ascii="Cambria" w:hAnsi="Cambria"/>
        </w:rPr>
        <w:t xml:space="preserve"> </w:t>
      </w:r>
      <w:r w:rsidR="009E0C21">
        <w:rPr>
          <w:rFonts w:ascii="Cambria" w:hAnsi="Cambria"/>
        </w:rPr>
        <w:t xml:space="preserve">to </w:t>
      </w:r>
      <w:r w:rsidR="00CF7286">
        <w:rPr>
          <w:rFonts w:ascii="Cambria" w:hAnsi="Cambria"/>
        </w:rPr>
        <w:t>have</w:t>
      </w:r>
      <w:r w:rsidR="007A6673">
        <w:rPr>
          <w:rFonts w:ascii="Cambria" w:hAnsi="Cambria"/>
        </w:rPr>
        <w:t xml:space="preserve"> </w:t>
      </w:r>
      <w:r w:rsidR="00D0668B">
        <w:rPr>
          <w:rFonts w:ascii="Cambria" w:hAnsi="Cambria"/>
        </w:rPr>
        <w:t xml:space="preserve">the highest average host plant divergence </w:t>
      </w:r>
      <w:r w:rsidR="00A57914">
        <w:rPr>
          <w:rFonts w:ascii="Cambria" w:hAnsi="Cambria"/>
        </w:rPr>
        <w:t>(</w:t>
      </w:r>
      <w:r w:rsidR="009175C9">
        <w:rPr>
          <w:rFonts w:ascii="Cambria" w:hAnsi="Cambria"/>
        </w:rPr>
        <w:t>mean MPD</w:t>
      </w:r>
      <w:r w:rsidR="00A8699E">
        <w:rPr>
          <w:rFonts w:ascii="Cambria" w:hAnsi="Cambria"/>
        </w:rPr>
        <w:t xml:space="preserve"> </w:t>
      </w:r>
      <w:r w:rsidR="00A57914">
        <w:rPr>
          <w:rFonts w:ascii="Cambria" w:hAnsi="Cambria"/>
        </w:rPr>
        <w:t xml:space="preserve">= </w:t>
      </w:r>
      <w:r w:rsidR="00A57914" w:rsidRPr="00A57914">
        <w:rPr>
          <w:rFonts w:ascii="Cambria" w:hAnsi="Cambria"/>
        </w:rPr>
        <w:t>187.5</w:t>
      </w:r>
      <w:r w:rsidR="00A57914">
        <w:rPr>
          <w:rFonts w:ascii="Cambria" w:hAnsi="Cambria"/>
        </w:rPr>
        <w:t>,</w:t>
      </w:r>
      <w:r w:rsidR="009175C9">
        <w:rPr>
          <w:rFonts w:ascii="Cambria" w:hAnsi="Cambria"/>
        </w:rPr>
        <w:t xml:space="preserve"> mean MNTD =</w:t>
      </w:r>
      <w:r w:rsidR="00A57914">
        <w:rPr>
          <w:rFonts w:ascii="Cambria" w:hAnsi="Cambria"/>
        </w:rPr>
        <w:t xml:space="preserve"> 185.0, </w:t>
      </w:r>
      <w:r w:rsidR="00A8699E">
        <w:rPr>
          <w:rFonts w:ascii="Cambria" w:hAnsi="Cambria"/>
        </w:rPr>
        <w:t>mean DSI</w:t>
      </w:r>
      <w:r w:rsidR="00A8699E">
        <w:rPr>
          <w:rFonts w:ascii="Cambria" w:hAnsi="Cambria"/>
          <w:vertAlign w:val="subscript"/>
        </w:rPr>
        <w:t xml:space="preserve">MPD </w:t>
      </w:r>
      <w:r w:rsidR="00A57914">
        <w:rPr>
          <w:rFonts w:ascii="Cambria" w:hAnsi="Cambria"/>
        </w:rPr>
        <w:t xml:space="preserve">= </w:t>
      </w:r>
      <w:r w:rsidR="00A57914" w:rsidRPr="00A57914">
        <w:rPr>
          <w:rFonts w:ascii="Cambria" w:hAnsi="Cambria"/>
        </w:rPr>
        <w:t>-0.96</w:t>
      </w:r>
      <w:r w:rsidR="00A57914">
        <w:rPr>
          <w:rFonts w:ascii="Cambria" w:hAnsi="Cambria"/>
        </w:rPr>
        <w:t>,</w:t>
      </w:r>
      <w:r w:rsidR="00A8699E">
        <w:rPr>
          <w:rFonts w:ascii="Cambria" w:hAnsi="Cambria"/>
        </w:rPr>
        <w:t xml:space="preserve"> mean DSI</w:t>
      </w:r>
      <w:r w:rsidR="00A8699E">
        <w:rPr>
          <w:rFonts w:ascii="Cambria" w:hAnsi="Cambria"/>
          <w:vertAlign w:val="subscript"/>
        </w:rPr>
        <w:t>MNTD</w:t>
      </w:r>
      <w:r w:rsidR="00A8699E">
        <w:rPr>
          <w:rFonts w:ascii="Cambria" w:hAnsi="Cambria"/>
        </w:rPr>
        <w:t xml:space="preserve"> = </w:t>
      </w:r>
      <w:r w:rsidR="00A57914" w:rsidRPr="00A57914">
        <w:rPr>
          <w:rFonts w:ascii="Cambria" w:hAnsi="Cambria"/>
        </w:rPr>
        <w:t>-1.03</w:t>
      </w:r>
      <w:r w:rsidR="00A57914">
        <w:rPr>
          <w:rFonts w:ascii="Cambria" w:hAnsi="Cambria"/>
        </w:rPr>
        <w:t xml:space="preserve">). </w:t>
      </w:r>
      <w:r w:rsidR="00105504">
        <w:rPr>
          <w:rFonts w:ascii="Cambria" w:hAnsi="Cambria"/>
        </w:rPr>
        <w:t xml:space="preserve">Within each </w:t>
      </w:r>
      <w:r w:rsidR="00A1195D">
        <w:rPr>
          <w:rFonts w:ascii="Cambria" w:hAnsi="Cambria"/>
        </w:rPr>
        <w:t xml:space="preserve">butterfly </w:t>
      </w:r>
      <w:r w:rsidR="00105504">
        <w:rPr>
          <w:rFonts w:ascii="Cambria" w:hAnsi="Cambria"/>
        </w:rPr>
        <w:t>family</w:t>
      </w:r>
      <w:r w:rsidR="00E921B2">
        <w:rPr>
          <w:rFonts w:ascii="Cambria" w:hAnsi="Cambria"/>
        </w:rPr>
        <w:t>, host divergence is often bimoda</w:t>
      </w:r>
      <w:r w:rsidR="00FD34A9">
        <w:rPr>
          <w:rFonts w:ascii="Cambria" w:hAnsi="Cambria"/>
        </w:rPr>
        <w:t>l</w:t>
      </w:r>
      <w:r w:rsidR="00E921B2">
        <w:rPr>
          <w:rFonts w:ascii="Cambria" w:hAnsi="Cambria"/>
        </w:rPr>
        <w:t>l</w:t>
      </w:r>
      <w:r w:rsidR="00244403">
        <w:rPr>
          <w:rFonts w:ascii="Cambria" w:hAnsi="Cambria"/>
        </w:rPr>
        <w:t>y distributed</w:t>
      </w:r>
      <w:r w:rsidR="002E0A31">
        <w:rPr>
          <w:rFonts w:ascii="Cambria" w:hAnsi="Cambria"/>
        </w:rPr>
        <w:t>, which</w:t>
      </w:r>
      <w:r w:rsidR="000F6819">
        <w:rPr>
          <w:rFonts w:ascii="Cambria" w:hAnsi="Cambria"/>
        </w:rPr>
        <w:t xml:space="preserve"> </w:t>
      </w:r>
      <w:r w:rsidR="003D2E71">
        <w:rPr>
          <w:rFonts w:ascii="Cambria" w:hAnsi="Cambria"/>
        </w:rPr>
        <w:t>is cause</w:t>
      </w:r>
      <w:r w:rsidR="00C20FA5">
        <w:rPr>
          <w:rFonts w:ascii="Cambria" w:hAnsi="Cambria"/>
        </w:rPr>
        <w:t>d</w:t>
      </w:r>
      <w:r w:rsidR="003D2E71">
        <w:rPr>
          <w:rFonts w:ascii="Cambria" w:hAnsi="Cambria"/>
        </w:rPr>
        <w:t xml:space="preserve"> by the difference </w:t>
      </w:r>
      <w:r w:rsidR="00CC77A9">
        <w:rPr>
          <w:rFonts w:ascii="Cambria" w:hAnsi="Cambria"/>
        </w:rPr>
        <w:t>between</w:t>
      </w:r>
      <w:r w:rsidR="00EC646C">
        <w:rPr>
          <w:rFonts w:ascii="Cambria" w:hAnsi="Cambria"/>
        </w:rPr>
        <w:t xml:space="preserve"> monophagous and polyphagous </w:t>
      </w:r>
      <w:r w:rsidR="003B487F">
        <w:rPr>
          <w:rFonts w:ascii="Cambria" w:hAnsi="Cambria"/>
        </w:rPr>
        <w:t xml:space="preserve">species. </w:t>
      </w:r>
      <w:r w:rsidR="006077CE">
        <w:rPr>
          <w:rFonts w:ascii="Cambria" w:hAnsi="Cambria"/>
        </w:rPr>
        <w:t xml:space="preserve">When </w:t>
      </w:r>
      <w:r w:rsidR="00821823">
        <w:rPr>
          <w:rFonts w:ascii="Cambria" w:hAnsi="Cambria"/>
        </w:rPr>
        <w:t>excluding mono</w:t>
      </w:r>
      <w:r w:rsidR="006077CE">
        <w:rPr>
          <w:rFonts w:ascii="Cambria" w:hAnsi="Cambria"/>
        </w:rPr>
        <w:t xml:space="preserve">phagous species, </w:t>
      </w:r>
      <w:proofErr w:type="spellStart"/>
      <w:r w:rsidR="006077CE" w:rsidRPr="007C2A37">
        <w:rPr>
          <w:rFonts w:ascii="Cambria" w:hAnsi="Cambria"/>
        </w:rPr>
        <w:t>Papilionidae</w:t>
      </w:r>
      <w:proofErr w:type="spellEnd"/>
      <w:r w:rsidR="006077CE">
        <w:rPr>
          <w:rFonts w:ascii="Cambria" w:hAnsi="Cambria"/>
        </w:rPr>
        <w:t xml:space="preserve"> still have the most divergent </w:t>
      </w:r>
      <w:r w:rsidR="00615760">
        <w:rPr>
          <w:rFonts w:ascii="Cambria" w:hAnsi="Cambria"/>
        </w:rPr>
        <w:t xml:space="preserve">host range </w:t>
      </w:r>
      <w:r w:rsidR="005675D8">
        <w:rPr>
          <w:rFonts w:ascii="Cambria" w:hAnsi="Cambria"/>
        </w:rPr>
        <w:t xml:space="preserve">with a </w:t>
      </w:r>
      <w:r w:rsidR="005D0D38">
        <w:rPr>
          <w:rFonts w:ascii="Cambria" w:hAnsi="Cambria"/>
        </w:rPr>
        <w:t>mean DSI</w:t>
      </w:r>
      <w:r w:rsidR="005D0D38">
        <w:rPr>
          <w:rFonts w:ascii="Cambria" w:hAnsi="Cambria"/>
          <w:vertAlign w:val="subscript"/>
        </w:rPr>
        <w:t xml:space="preserve">MPD </w:t>
      </w:r>
      <w:r w:rsidR="005D0D38">
        <w:rPr>
          <w:rFonts w:ascii="Cambria" w:hAnsi="Cambria"/>
        </w:rPr>
        <w:t xml:space="preserve">of </w:t>
      </w:r>
      <w:r w:rsidR="005D0D38" w:rsidRPr="005D0D38">
        <w:rPr>
          <w:rFonts w:ascii="Cambria" w:hAnsi="Cambria"/>
        </w:rPr>
        <w:t>-0.15</w:t>
      </w:r>
      <w:r w:rsidR="005D0D38">
        <w:rPr>
          <w:rFonts w:ascii="Cambria" w:hAnsi="Cambria"/>
        </w:rPr>
        <w:t xml:space="preserve"> and mean DSI</w:t>
      </w:r>
      <w:r w:rsidR="005D0D38">
        <w:rPr>
          <w:rFonts w:ascii="Cambria" w:hAnsi="Cambria"/>
          <w:vertAlign w:val="subscript"/>
        </w:rPr>
        <w:t xml:space="preserve">MNTD </w:t>
      </w:r>
      <w:r w:rsidR="005D0D38">
        <w:rPr>
          <w:rFonts w:ascii="Cambria" w:hAnsi="Cambria"/>
        </w:rPr>
        <w:t xml:space="preserve">of </w:t>
      </w:r>
      <w:r w:rsidR="005D0D38" w:rsidRPr="005D0D38">
        <w:rPr>
          <w:rFonts w:ascii="Cambria" w:hAnsi="Cambria"/>
        </w:rPr>
        <w:t>-0.18</w:t>
      </w:r>
      <w:r w:rsidR="005D0D38">
        <w:rPr>
          <w:rFonts w:ascii="Cambria" w:hAnsi="Cambria"/>
        </w:rPr>
        <w:t>.</w:t>
      </w:r>
      <w:r w:rsidR="00615760">
        <w:rPr>
          <w:rFonts w:ascii="Cambria" w:hAnsi="Cambria"/>
        </w:rPr>
        <w:t xml:space="preserve"> </w:t>
      </w:r>
      <w:r w:rsidR="009E4168">
        <w:rPr>
          <w:rFonts w:ascii="Cambria" w:hAnsi="Cambria"/>
        </w:rPr>
        <w:t>Here</w:t>
      </w:r>
      <w:r w:rsidR="00A45C9B">
        <w:rPr>
          <w:rFonts w:ascii="Cambria" w:hAnsi="Cambria"/>
        </w:rPr>
        <w:t>, the negative value</w:t>
      </w:r>
      <w:r w:rsidR="008757A0">
        <w:rPr>
          <w:rFonts w:ascii="Cambria" w:hAnsi="Cambria"/>
        </w:rPr>
        <w:t>s</w:t>
      </w:r>
      <w:r w:rsidR="00A45C9B">
        <w:rPr>
          <w:rFonts w:ascii="Cambria" w:hAnsi="Cambria"/>
        </w:rPr>
        <w:t xml:space="preserve"> of </w:t>
      </w:r>
      <w:r w:rsidR="00D24BB1">
        <w:rPr>
          <w:rFonts w:ascii="Cambria" w:hAnsi="Cambria"/>
        </w:rPr>
        <w:t>DSI</w:t>
      </w:r>
      <w:r w:rsidR="00D24BB1">
        <w:rPr>
          <w:rFonts w:ascii="Cambria" w:hAnsi="Cambria"/>
          <w:vertAlign w:val="subscript"/>
        </w:rPr>
        <w:t xml:space="preserve">MPD </w:t>
      </w:r>
      <w:r w:rsidR="00D24BB1" w:rsidRPr="00D24BB1">
        <w:rPr>
          <w:rFonts w:ascii="Cambria" w:hAnsi="Cambria"/>
        </w:rPr>
        <w:t xml:space="preserve">and </w:t>
      </w:r>
      <w:r w:rsidR="00D24BB1">
        <w:rPr>
          <w:rFonts w:ascii="Cambria" w:hAnsi="Cambria"/>
        </w:rPr>
        <w:t>DSI</w:t>
      </w:r>
      <w:r w:rsidR="00D24BB1">
        <w:rPr>
          <w:rFonts w:ascii="Cambria" w:hAnsi="Cambria"/>
          <w:vertAlign w:val="subscript"/>
        </w:rPr>
        <w:t>MNTD</w:t>
      </w:r>
      <w:r w:rsidR="00D24BB1">
        <w:rPr>
          <w:rFonts w:ascii="Cambria" w:hAnsi="Cambria"/>
        </w:rPr>
        <w:t xml:space="preserve"> </w:t>
      </w:r>
      <w:r w:rsidR="00136E5C">
        <w:rPr>
          <w:rFonts w:ascii="Cambria" w:hAnsi="Cambria"/>
        </w:rPr>
        <w:t>suggest</w:t>
      </w:r>
      <w:r w:rsidR="005C16C6">
        <w:rPr>
          <w:rFonts w:ascii="Cambria" w:hAnsi="Cambria"/>
        </w:rPr>
        <w:t xml:space="preserve"> </w:t>
      </w:r>
      <w:r w:rsidR="00136E5C">
        <w:rPr>
          <w:rFonts w:ascii="Cambria" w:hAnsi="Cambria"/>
        </w:rPr>
        <w:t xml:space="preserve">that </w:t>
      </w:r>
      <w:r w:rsidR="00FD34A9">
        <w:rPr>
          <w:rFonts w:ascii="Cambria" w:hAnsi="Cambria"/>
        </w:rPr>
        <w:t xml:space="preserve">host plants </w:t>
      </w:r>
      <w:r w:rsidR="00136E5C">
        <w:rPr>
          <w:rFonts w:ascii="Cambria" w:hAnsi="Cambria"/>
        </w:rPr>
        <w:t xml:space="preserve">are </w:t>
      </w:r>
      <w:r w:rsidR="00924C6F">
        <w:rPr>
          <w:rFonts w:ascii="Cambria" w:hAnsi="Cambria"/>
        </w:rPr>
        <w:t>phylogenetically</w:t>
      </w:r>
      <w:r w:rsidR="00136E5C">
        <w:rPr>
          <w:rFonts w:ascii="Cambria" w:hAnsi="Cambria"/>
        </w:rPr>
        <w:t xml:space="preserve"> </w:t>
      </w:r>
      <w:r w:rsidR="009102EF">
        <w:rPr>
          <w:rFonts w:ascii="Cambria" w:hAnsi="Cambria"/>
        </w:rPr>
        <w:t>clustered</w:t>
      </w:r>
      <w:r w:rsidR="000A47D5">
        <w:rPr>
          <w:rFonts w:ascii="Cambria" w:hAnsi="Cambria"/>
        </w:rPr>
        <w:t xml:space="preserve"> </w:t>
      </w:r>
      <w:r w:rsidR="007523B6">
        <w:rPr>
          <w:rFonts w:ascii="Cambria" w:hAnsi="Cambria"/>
        </w:rPr>
        <w:t xml:space="preserve">(DSI&lt;0) </w:t>
      </w:r>
      <w:r w:rsidR="00A57C63">
        <w:rPr>
          <w:rFonts w:ascii="Cambria" w:hAnsi="Cambria"/>
        </w:rPr>
        <w:t>rather than</w:t>
      </w:r>
      <w:r w:rsidR="000A47D5">
        <w:rPr>
          <w:rFonts w:ascii="Cambria" w:hAnsi="Cambria"/>
        </w:rPr>
        <w:t xml:space="preserve"> </w:t>
      </w:r>
      <w:r w:rsidR="001717B5">
        <w:rPr>
          <w:rFonts w:ascii="Cambria" w:hAnsi="Cambria"/>
        </w:rPr>
        <w:t xml:space="preserve">randomly distributed </w:t>
      </w:r>
      <w:r w:rsidR="007523B6">
        <w:rPr>
          <w:rFonts w:ascii="Cambria" w:hAnsi="Cambria"/>
        </w:rPr>
        <w:t>(DS</w:t>
      </w:r>
      <w:r w:rsidR="0061639E">
        <w:rPr>
          <w:rFonts w:ascii="Cambria" w:hAnsi="Cambria"/>
        </w:rPr>
        <w:t>I</w:t>
      </w:r>
      <w:r w:rsidR="007523B6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≥</m:t>
        </m:r>
      </m:oMath>
      <w:r w:rsidR="0061639E">
        <w:rPr>
          <w:rFonts w:ascii="Cambria" w:hAnsi="Cambria"/>
        </w:rPr>
        <w:t>0</w:t>
      </w:r>
      <w:r w:rsidR="007523B6">
        <w:rPr>
          <w:rFonts w:ascii="Cambria" w:hAnsi="Cambria"/>
        </w:rPr>
        <w:t>)</w:t>
      </w:r>
      <w:r w:rsidR="00552832">
        <w:rPr>
          <w:rFonts w:ascii="Cambria" w:hAnsi="Cambria"/>
        </w:rPr>
        <w:t>. However, exceptions, though uncommon, are found</w:t>
      </w:r>
      <w:r w:rsidR="001C78F2">
        <w:rPr>
          <w:rFonts w:ascii="Cambria" w:hAnsi="Cambria"/>
        </w:rPr>
        <w:t xml:space="preserve"> in several species</w:t>
      </w:r>
      <w:r w:rsidR="00552832">
        <w:rPr>
          <w:rFonts w:ascii="Cambria" w:hAnsi="Cambria"/>
        </w:rPr>
        <w:t xml:space="preserve">. </w:t>
      </w:r>
      <w:r w:rsidR="007E304B">
        <w:rPr>
          <w:rFonts w:ascii="Cambria" w:hAnsi="Cambria"/>
        </w:rPr>
        <w:t xml:space="preserve">There are 14 species </w:t>
      </w:r>
      <w:r w:rsidR="005D5195">
        <w:rPr>
          <w:rFonts w:ascii="Cambria" w:hAnsi="Cambria"/>
        </w:rPr>
        <w:t>demonstrat</w:t>
      </w:r>
      <w:r w:rsidR="0018328B">
        <w:rPr>
          <w:rFonts w:ascii="Cambria" w:hAnsi="Cambria"/>
        </w:rPr>
        <w:t>ing</w:t>
      </w:r>
      <w:r w:rsidR="005D5195">
        <w:rPr>
          <w:rFonts w:ascii="Cambria" w:hAnsi="Cambria"/>
        </w:rPr>
        <w:t xml:space="preserve"> both </w:t>
      </w:r>
      <w:r w:rsidR="00075952">
        <w:rPr>
          <w:rFonts w:ascii="Cambria" w:hAnsi="Cambria"/>
        </w:rPr>
        <w:t>high</w:t>
      </w:r>
      <w:r w:rsidR="005D5195">
        <w:rPr>
          <w:rFonts w:ascii="Cambria" w:hAnsi="Cambria"/>
        </w:rPr>
        <w:t xml:space="preserve"> </w:t>
      </w:r>
      <w:r w:rsidR="00075952">
        <w:rPr>
          <w:rFonts w:ascii="Cambria" w:hAnsi="Cambria"/>
        </w:rPr>
        <w:t>host plant richness (&gt;5 families)</w:t>
      </w:r>
      <w:r w:rsidR="005879EF">
        <w:rPr>
          <w:rFonts w:ascii="Cambria" w:hAnsi="Cambria"/>
        </w:rPr>
        <w:t xml:space="preserve"> and </w:t>
      </w:r>
      <w:r w:rsidR="00046F4B">
        <w:rPr>
          <w:rFonts w:ascii="Cambria" w:hAnsi="Cambria"/>
        </w:rPr>
        <w:t xml:space="preserve">high </w:t>
      </w:r>
      <w:r w:rsidR="006400E8">
        <w:rPr>
          <w:rFonts w:ascii="Cambria" w:hAnsi="Cambria"/>
        </w:rPr>
        <w:t>divergence</w:t>
      </w:r>
      <w:r w:rsidR="000279E2">
        <w:rPr>
          <w:rFonts w:ascii="Cambria" w:hAnsi="Cambria"/>
        </w:rPr>
        <w:t xml:space="preserve"> (MPD </w:t>
      </w:r>
      <w:r w:rsidR="000279E2">
        <w:rPr>
          <w:rFonts w:ascii="Cambria" w:hAnsi="Cambria"/>
          <w:i/>
          <w:iCs/>
        </w:rPr>
        <w:t>p–</w:t>
      </w:r>
      <w:r w:rsidR="000279E2">
        <w:rPr>
          <w:rFonts w:ascii="Cambria" w:hAnsi="Cambria"/>
        </w:rPr>
        <w:t>value &gt;0.05</w:t>
      </w:r>
      <w:r w:rsidR="00FD43DA">
        <w:rPr>
          <w:rFonts w:ascii="Cambria" w:hAnsi="Cambria"/>
        </w:rPr>
        <w:t xml:space="preserve"> and MNTD </w:t>
      </w:r>
      <w:r w:rsidR="00FD43DA">
        <w:rPr>
          <w:rFonts w:ascii="Cambria" w:hAnsi="Cambria"/>
          <w:i/>
          <w:iCs/>
        </w:rPr>
        <w:t>p–</w:t>
      </w:r>
      <w:r w:rsidR="00FD43DA">
        <w:rPr>
          <w:rFonts w:ascii="Cambria" w:hAnsi="Cambria"/>
        </w:rPr>
        <w:t>value &gt;0.05</w:t>
      </w:r>
      <w:r w:rsidR="000279E2">
        <w:rPr>
          <w:rFonts w:ascii="Cambria" w:hAnsi="Cambria"/>
        </w:rPr>
        <w:t>)</w:t>
      </w:r>
      <w:r w:rsidR="005D5195">
        <w:rPr>
          <w:rFonts w:ascii="Cambria" w:hAnsi="Cambria"/>
        </w:rPr>
        <w:t xml:space="preserve">. </w:t>
      </w:r>
      <w:proofErr w:type="spellStart"/>
      <w:r w:rsidR="001F0A08">
        <w:rPr>
          <w:rFonts w:ascii="Cambria" w:hAnsi="Cambria"/>
        </w:rPr>
        <w:t>Lycaenidae</w:t>
      </w:r>
      <w:proofErr w:type="spellEnd"/>
      <w:r w:rsidR="001F0A08">
        <w:rPr>
          <w:rFonts w:ascii="Cambria" w:hAnsi="Cambria"/>
        </w:rPr>
        <w:t xml:space="preserve"> are overrepresented in these generalists </w:t>
      </w:r>
      <w:r w:rsidR="00E53D13">
        <w:rPr>
          <w:rFonts w:ascii="Cambria" w:hAnsi="Cambria"/>
        </w:rPr>
        <w:t>with</w:t>
      </w:r>
      <w:r w:rsidR="001F0A08">
        <w:rPr>
          <w:rFonts w:ascii="Cambria" w:hAnsi="Cambria"/>
        </w:rPr>
        <w:t xml:space="preserve"> </w:t>
      </w:r>
      <w:r w:rsidR="00ED3D76">
        <w:rPr>
          <w:rFonts w:ascii="Cambria" w:hAnsi="Cambria"/>
        </w:rPr>
        <w:t>e</w:t>
      </w:r>
      <w:r w:rsidR="008E04F8">
        <w:rPr>
          <w:rFonts w:ascii="Cambria" w:hAnsi="Cambria"/>
        </w:rPr>
        <w:t xml:space="preserve">ight </w:t>
      </w:r>
      <w:r w:rsidR="00667319">
        <w:rPr>
          <w:rFonts w:ascii="Cambria" w:hAnsi="Cambria"/>
        </w:rPr>
        <w:t>species</w:t>
      </w:r>
      <w:r w:rsidR="00731C47">
        <w:rPr>
          <w:rFonts w:ascii="Cambria" w:hAnsi="Cambria"/>
        </w:rPr>
        <w:t xml:space="preserve"> included in the list</w:t>
      </w:r>
      <w:r w:rsidR="008E04F8">
        <w:rPr>
          <w:rFonts w:ascii="Cambria" w:hAnsi="Cambria"/>
        </w:rPr>
        <w:t xml:space="preserve">. </w:t>
      </w:r>
      <w:r w:rsidR="006D163D">
        <w:rPr>
          <w:rFonts w:ascii="Cambria" w:hAnsi="Cambria"/>
        </w:rPr>
        <w:lastRenderedPageBreak/>
        <w:t xml:space="preserve">The wide </w:t>
      </w:r>
      <w:r w:rsidR="005E71A4">
        <w:rPr>
          <w:rFonts w:ascii="Cambria" w:hAnsi="Cambria" w:hint="eastAsia"/>
        </w:rPr>
        <w:t>bread</w:t>
      </w:r>
      <w:r w:rsidR="005E71A4">
        <w:rPr>
          <w:rFonts w:ascii="Cambria" w:hAnsi="Cambria"/>
        </w:rPr>
        <w:t xml:space="preserve">th of </w:t>
      </w:r>
      <w:r w:rsidR="006D163D">
        <w:rPr>
          <w:rFonts w:ascii="Cambria" w:hAnsi="Cambria"/>
        </w:rPr>
        <w:t xml:space="preserve">host range is well known in some species </w:t>
      </w:r>
      <w:r w:rsidR="00C966FF">
        <w:rPr>
          <w:rFonts w:ascii="Cambria" w:hAnsi="Cambria"/>
        </w:rPr>
        <w:t>such as</w:t>
      </w:r>
      <w:r w:rsidR="006D163D">
        <w:rPr>
          <w:rFonts w:ascii="Cambria" w:hAnsi="Cambria"/>
        </w:rPr>
        <w:t xml:space="preserve"> </w:t>
      </w:r>
      <w:proofErr w:type="spellStart"/>
      <w:r w:rsidR="00F0651E" w:rsidRPr="00F0651E">
        <w:rPr>
          <w:rFonts w:ascii="Cambria" w:hAnsi="Cambria"/>
          <w:i/>
          <w:iCs/>
        </w:rPr>
        <w:t>Hypolycaena</w:t>
      </w:r>
      <w:proofErr w:type="spellEnd"/>
      <w:r w:rsidR="00F0651E" w:rsidRPr="00F0651E">
        <w:rPr>
          <w:rFonts w:ascii="Cambria" w:hAnsi="Cambria"/>
          <w:i/>
          <w:iCs/>
        </w:rPr>
        <w:t xml:space="preserve"> </w:t>
      </w:r>
      <w:proofErr w:type="spellStart"/>
      <w:r w:rsidR="00F0651E" w:rsidRPr="00F0651E">
        <w:rPr>
          <w:rFonts w:ascii="Cambria" w:hAnsi="Cambria"/>
          <w:i/>
          <w:iCs/>
        </w:rPr>
        <w:t>phorbas</w:t>
      </w:r>
      <w:proofErr w:type="spellEnd"/>
      <w:r w:rsidR="00332159">
        <w:rPr>
          <w:rFonts w:ascii="Cambria" w:hAnsi="Cambria"/>
          <w:i/>
          <w:iCs/>
        </w:rPr>
        <w:t xml:space="preserve"> </w:t>
      </w:r>
      <w:r w:rsidR="00332159">
        <w:rPr>
          <w:rFonts w:ascii="Cambria" w:hAnsi="Cambria"/>
        </w:rPr>
        <w:t>(</w:t>
      </w:r>
      <w:proofErr w:type="spellStart"/>
      <w:r w:rsidR="00332159">
        <w:rPr>
          <w:rFonts w:ascii="Cambria" w:hAnsi="Cambria"/>
        </w:rPr>
        <w:t>Lycaenidae</w:t>
      </w:r>
      <w:proofErr w:type="spellEnd"/>
      <w:r w:rsidR="00332159">
        <w:rPr>
          <w:rFonts w:ascii="Cambria" w:hAnsi="Cambria"/>
        </w:rPr>
        <w:t>)</w:t>
      </w:r>
      <w:r w:rsidR="00410966">
        <w:rPr>
          <w:rFonts w:ascii="Cambria" w:hAnsi="Cambria"/>
        </w:rPr>
        <w:t xml:space="preserve">, </w:t>
      </w:r>
      <w:proofErr w:type="spellStart"/>
      <w:r w:rsidR="00410966" w:rsidRPr="002260F6">
        <w:rPr>
          <w:rFonts w:ascii="Cambria" w:hAnsi="Cambria"/>
          <w:i/>
          <w:iCs/>
        </w:rPr>
        <w:t>Zesius</w:t>
      </w:r>
      <w:proofErr w:type="spellEnd"/>
      <w:r w:rsidR="00410966" w:rsidRPr="002260F6">
        <w:rPr>
          <w:rFonts w:ascii="Cambria" w:hAnsi="Cambria"/>
          <w:i/>
          <w:iCs/>
        </w:rPr>
        <w:t xml:space="preserve"> </w:t>
      </w:r>
      <w:proofErr w:type="spellStart"/>
      <w:r w:rsidR="00410966" w:rsidRPr="002260F6">
        <w:rPr>
          <w:rFonts w:ascii="Cambria" w:hAnsi="Cambria"/>
          <w:i/>
          <w:iCs/>
        </w:rPr>
        <w:t>chrysomallus</w:t>
      </w:r>
      <w:proofErr w:type="spellEnd"/>
      <w:r w:rsidR="00410966">
        <w:rPr>
          <w:rFonts w:ascii="Cambria" w:hAnsi="Cambria"/>
        </w:rPr>
        <w:t xml:space="preserve"> (</w:t>
      </w:r>
      <w:proofErr w:type="spellStart"/>
      <w:r w:rsidR="00410966">
        <w:rPr>
          <w:rFonts w:ascii="Cambria" w:hAnsi="Cambria"/>
        </w:rPr>
        <w:t>Lycaenidae</w:t>
      </w:r>
      <w:proofErr w:type="spellEnd"/>
      <w:r w:rsidR="00410966">
        <w:rPr>
          <w:rFonts w:ascii="Cambria" w:hAnsi="Cambria"/>
        </w:rPr>
        <w:t>)</w:t>
      </w:r>
      <w:r w:rsidR="002260F6">
        <w:rPr>
          <w:rFonts w:ascii="Cambria" w:hAnsi="Cambria"/>
        </w:rPr>
        <w:t>,</w:t>
      </w:r>
      <w:r w:rsidR="00332159">
        <w:rPr>
          <w:rFonts w:ascii="Cambria" w:hAnsi="Cambria"/>
        </w:rPr>
        <w:t xml:space="preserve"> and</w:t>
      </w:r>
      <w:r w:rsidR="00A84BED">
        <w:rPr>
          <w:rFonts w:ascii="Cambria" w:hAnsi="Cambria"/>
        </w:rPr>
        <w:t xml:space="preserve"> </w:t>
      </w:r>
      <w:proofErr w:type="spellStart"/>
      <w:r w:rsidR="00A84BED" w:rsidRPr="00A84BED">
        <w:rPr>
          <w:rFonts w:ascii="Cambria" w:hAnsi="Cambria"/>
          <w:i/>
          <w:iCs/>
        </w:rPr>
        <w:t>Pterourus</w:t>
      </w:r>
      <w:proofErr w:type="spellEnd"/>
      <w:r w:rsidR="00A84BED" w:rsidRPr="00A84BED">
        <w:rPr>
          <w:rFonts w:ascii="Cambria" w:hAnsi="Cambria"/>
          <w:i/>
          <w:iCs/>
        </w:rPr>
        <w:t xml:space="preserve"> </w:t>
      </w:r>
      <w:proofErr w:type="spellStart"/>
      <w:r w:rsidR="00A84BED" w:rsidRPr="00A84BED">
        <w:rPr>
          <w:rFonts w:ascii="Cambria" w:hAnsi="Cambria"/>
          <w:i/>
          <w:iCs/>
        </w:rPr>
        <w:t>glaucus</w:t>
      </w:r>
      <w:proofErr w:type="spellEnd"/>
      <w:r w:rsidR="000F39F0">
        <w:rPr>
          <w:rFonts w:ascii="Cambria" w:hAnsi="Cambria"/>
        </w:rPr>
        <w:t xml:space="preserve"> (</w:t>
      </w:r>
      <w:proofErr w:type="spellStart"/>
      <w:r w:rsidR="000F39F0" w:rsidRPr="000F39F0">
        <w:rPr>
          <w:rFonts w:ascii="Cambria" w:hAnsi="Cambria"/>
        </w:rPr>
        <w:t>Papilionidae</w:t>
      </w:r>
      <w:proofErr w:type="spellEnd"/>
      <w:r w:rsidR="000F39F0">
        <w:rPr>
          <w:rFonts w:ascii="Cambria" w:hAnsi="Cambria"/>
        </w:rPr>
        <w:t>)</w:t>
      </w:r>
      <w:r w:rsidR="00B50B62">
        <w:rPr>
          <w:rFonts w:ascii="Cambria" w:hAnsi="Cambria"/>
        </w:rPr>
        <w:t>, but reported for the first time in others.</w:t>
      </w:r>
      <w:r w:rsidR="00F0651E" w:rsidRPr="00F0651E">
        <w:rPr>
          <w:rFonts w:ascii="Cambria" w:hAnsi="Cambria"/>
        </w:rPr>
        <w:t xml:space="preserve"> </w:t>
      </w:r>
      <w:r w:rsidR="006464D6">
        <w:rPr>
          <w:rFonts w:ascii="Cambria" w:hAnsi="Cambria"/>
        </w:rPr>
        <w:t>For example</w:t>
      </w:r>
      <w:commentRangeStart w:id="1"/>
      <w:r w:rsidR="00552832">
        <w:rPr>
          <w:rFonts w:ascii="Cambria" w:hAnsi="Cambria"/>
        </w:rPr>
        <w:t xml:space="preserve">, </w:t>
      </w:r>
      <w:proofErr w:type="spellStart"/>
      <w:r w:rsidR="00552832" w:rsidRPr="00552832">
        <w:rPr>
          <w:rFonts w:ascii="Cambria" w:hAnsi="Cambria"/>
          <w:i/>
          <w:iCs/>
        </w:rPr>
        <w:t>Shirozua</w:t>
      </w:r>
      <w:proofErr w:type="spellEnd"/>
      <w:r w:rsidR="00552832" w:rsidRPr="00552832">
        <w:rPr>
          <w:rFonts w:ascii="Cambria" w:hAnsi="Cambria"/>
          <w:i/>
          <w:iCs/>
        </w:rPr>
        <w:t xml:space="preserve"> </w:t>
      </w:r>
      <w:proofErr w:type="spellStart"/>
      <w:r w:rsidR="00552832" w:rsidRPr="00552832">
        <w:rPr>
          <w:rFonts w:ascii="Cambria" w:hAnsi="Cambria"/>
          <w:i/>
          <w:iCs/>
        </w:rPr>
        <w:t>jonasi</w:t>
      </w:r>
      <w:proofErr w:type="spellEnd"/>
      <w:r w:rsidR="00552832">
        <w:rPr>
          <w:rFonts w:ascii="Cambria" w:hAnsi="Cambria"/>
        </w:rPr>
        <w:t xml:space="preserve"> (</w:t>
      </w:r>
      <w:proofErr w:type="spellStart"/>
      <w:r w:rsidR="00552832">
        <w:rPr>
          <w:rFonts w:ascii="Cambria" w:hAnsi="Cambria"/>
        </w:rPr>
        <w:t>Lycaenidae</w:t>
      </w:r>
      <w:proofErr w:type="spellEnd"/>
      <w:r w:rsidR="00552832">
        <w:rPr>
          <w:rFonts w:ascii="Cambria" w:hAnsi="Cambria"/>
        </w:rPr>
        <w:t xml:space="preserve">) </w:t>
      </w:r>
      <w:r w:rsidR="000A490C">
        <w:rPr>
          <w:rFonts w:ascii="Cambria" w:hAnsi="Cambria"/>
        </w:rPr>
        <w:t xml:space="preserve">can feed </w:t>
      </w:r>
      <w:r w:rsidR="00552832">
        <w:rPr>
          <w:rFonts w:ascii="Cambria" w:hAnsi="Cambria"/>
        </w:rPr>
        <w:t xml:space="preserve">on 20 </w:t>
      </w:r>
      <w:r w:rsidR="00784D69">
        <w:rPr>
          <w:rFonts w:ascii="Cambria" w:hAnsi="Cambria"/>
        </w:rPr>
        <w:t>astonishingly</w:t>
      </w:r>
      <w:r w:rsidR="007B2C84">
        <w:rPr>
          <w:rFonts w:ascii="Cambria" w:hAnsi="Cambria"/>
        </w:rPr>
        <w:t xml:space="preserve"> </w:t>
      </w:r>
      <w:r w:rsidR="00784D69">
        <w:rPr>
          <w:rFonts w:ascii="Cambria" w:hAnsi="Cambria"/>
        </w:rPr>
        <w:t>diver</w:t>
      </w:r>
      <w:r w:rsidR="00A01E96">
        <w:rPr>
          <w:rFonts w:ascii="Cambria" w:hAnsi="Cambria"/>
        </w:rPr>
        <w:t>se</w:t>
      </w:r>
      <w:r w:rsidR="00552832">
        <w:rPr>
          <w:rFonts w:ascii="Cambria" w:hAnsi="Cambria"/>
        </w:rPr>
        <w:t xml:space="preserve"> plants in</w:t>
      </w:r>
      <w:r w:rsidR="00AD1D21">
        <w:rPr>
          <w:rFonts w:ascii="Cambria" w:hAnsi="Cambria"/>
        </w:rPr>
        <w:t xml:space="preserve">cluding </w:t>
      </w:r>
      <w:r w:rsidR="00EC0BCE">
        <w:rPr>
          <w:rFonts w:ascii="Cambria" w:hAnsi="Cambria"/>
        </w:rPr>
        <w:t>conifers (</w:t>
      </w:r>
      <w:r w:rsidR="00EC0BCE" w:rsidRPr="00EC0BCE">
        <w:rPr>
          <w:rFonts w:ascii="Cambria" w:hAnsi="Cambria"/>
        </w:rPr>
        <w:t>Pinaceae</w:t>
      </w:r>
      <w:r w:rsidR="00EC0BCE">
        <w:rPr>
          <w:rFonts w:ascii="Cambria" w:hAnsi="Cambria"/>
        </w:rPr>
        <w:t xml:space="preserve">, </w:t>
      </w:r>
      <w:r w:rsidR="00EC0BCE" w:rsidRPr="00EC0BCE">
        <w:rPr>
          <w:rFonts w:ascii="Cambria" w:hAnsi="Cambria"/>
        </w:rPr>
        <w:t>Cupressaceae</w:t>
      </w:r>
      <w:r w:rsidR="00EC0BCE">
        <w:rPr>
          <w:rFonts w:ascii="Cambria" w:hAnsi="Cambria"/>
        </w:rPr>
        <w:t xml:space="preserve">), </w:t>
      </w:r>
      <w:r w:rsidR="00460A63">
        <w:rPr>
          <w:rFonts w:ascii="Cambria" w:hAnsi="Cambria"/>
        </w:rPr>
        <w:t>grasses</w:t>
      </w:r>
      <w:r w:rsidR="00CB2BC3">
        <w:rPr>
          <w:rFonts w:ascii="Cambria" w:hAnsi="Cambria"/>
        </w:rPr>
        <w:t xml:space="preserve"> (</w:t>
      </w:r>
      <w:proofErr w:type="spellStart"/>
      <w:r w:rsidR="00CB2BC3" w:rsidRPr="00CB2BC3">
        <w:rPr>
          <w:rFonts w:ascii="Cambria" w:hAnsi="Cambria"/>
        </w:rPr>
        <w:t>Poaceae</w:t>
      </w:r>
      <w:proofErr w:type="spellEnd"/>
      <w:r w:rsidR="00CB2BC3">
        <w:rPr>
          <w:rFonts w:ascii="Cambria" w:hAnsi="Cambria"/>
        </w:rPr>
        <w:t xml:space="preserve">), </w:t>
      </w:r>
      <w:r w:rsidR="004A1BE2">
        <w:rPr>
          <w:rFonts w:ascii="Cambria" w:hAnsi="Cambria"/>
        </w:rPr>
        <w:t xml:space="preserve">legumes (Fabaceae), </w:t>
      </w:r>
      <w:r w:rsidR="008067B4">
        <w:rPr>
          <w:rFonts w:ascii="Cambria" w:hAnsi="Cambria"/>
        </w:rPr>
        <w:t xml:space="preserve">and plants with </w:t>
      </w:r>
      <w:r w:rsidR="00CB2BC3">
        <w:rPr>
          <w:rFonts w:ascii="Cambria" w:hAnsi="Cambria"/>
        </w:rPr>
        <w:t>toxic secondary compounds (</w:t>
      </w:r>
      <w:proofErr w:type="spellStart"/>
      <w:r w:rsidR="00CB2BC3" w:rsidRPr="00CB2BC3">
        <w:rPr>
          <w:rFonts w:ascii="Cambria" w:hAnsi="Cambria"/>
        </w:rPr>
        <w:t>Anacardiaceae</w:t>
      </w:r>
      <w:proofErr w:type="spellEnd"/>
      <w:r w:rsidR="00382CCE">
        <w:rPr>
          <w:rFonts w:ascii="Cambria" w:hAnsi="Cambria"/>
        </w:rPr>
        <w:t xml:space="preserve">, </w:t>
      </w:r>
      <w:r w:rsidR="00382CCE" w:rsidRPr="00382CCE">
        <w:rPr>
          <w:rFonts w:ascii="Cambria" w:hAnsi="Cambria"/>
        </w:rPr>
        <w:t>Caprifoliaceae</w:t>
      </w:r>
      <w:r w:rsidR="00CB2BC3">
        <w:rPr>
          <w:rFonts w:ascii="Cambria" w:hAnsi="Cambria"/>
        </w:rPr>
        <w:t>)</w:t>
      </w:r>
      <w:commentRangeEnd w:id="1"/>
      <w:r w:rsidR="001E3C02">
        <w:rPr>
          <w:rStyle w:val="CommentReference"/>
        </w:rPr>
        <w:commentReference w:id="1"/>
      </w:r>
      <w:r w:rsidR="00B51E9A">
        <w:rPr>
          <w:rFonts w:ascii="Cambria" w:hAnsi="Cambria"/>
        </w:rPr>
        <w:t>.</w:t>
      </w:r>
    </w:p>
    <w:p w14:paraId="4BD3EBE4" w14:textId="77777777" w:rsidR="00DA1F42" w:rsidRPr="006A2955" w:rsidRDefault="00DA1F42">
      <w:pPr>
        <w:rPr>
          <w:rFonts w:ascii="Cambria" w:hAnsi="Cambria"/>
        </w:rPr>
      </w:pPr>
    </w:p>
    <w:p w14:paraId="796306AE" w14:textId="2C0BFC63" w:rsidR="006A2955" w:rsidRPr="006A2955" w:rsidRDefault="006A2955">
      <w:pPr>
        <w:rPr>
          <w:rFonts w:ascii="Cambria" w:hAnsi="Cambria"/>
          <w:b/>
          <w:bCs/>
        </w:rPr>
      </w:pPr>
      <w:r w:rsidRPr="006A2955">
        <w:rPr>
          <w:rFonts w:ascii="Cambria" w:hAnsi="Cambria"/>
          <w:b/>
          <w:bCs/>
        </w:rPr>
        <w:t>Figure caption</w:t>
      </w:r>
    </w:p>
    <w:p w14:paraId="0281CA85" w14:textId="72E1CBD1" w:rsidR="00190E43" w:rsidRDefault="006A2955">
      <w:pPr>
        <w:rPr>
          <w:rFonts w:ascii="Cambria" w:hAnsi="Cambria"/>
        </w:rPr>
      </w:pPr>
      <w:r w:rsidRPr="006A2955">
        <w:rPr>
          <w:rFonts w:ascii="Cambria" w:hAnsi="Cambria"/>
          <w:b/>
          <w:bCs/>
        </w:rPr>
        <w:t xml:space="preserve">Fig. S# </w:t>
      </w:r>
      <w:r w:rsidR="00320292">
        <w:rPr>
          <w:rFonts w:ascii="Cambria" w:hAnsi="Cambria"/>
          <w:b/>
          <w:bCs/>
        </w:rPr>
        <w:t xml:space="preserve">Host plant </w:t>
      </w:r>
      <w:r w:rsidR="002F2407">
        <w:rPr>
          <w:rFonts w:ascii="Cambria" w:hAnsi="Cambria"/>
          <w:b/>
          <w:bCs/>
        </w:rPr>
        <w:t xml:space="preserve">richness and </w:t>
      </w:r>
      <w:r w:rsidR="00320292">
        <w:rPr>
          <w:rFonts w:ascii="Cambria" w:hAnsi="Cambria"/>
          <w:b/>
          <w:bCs/>
        </w:rPr>
        <w:t xml:space="preserve">divergence across butterfly families. </w:t>
      </w:r>
      <w:r w:rsidR="00320292" w:rsidRPr="00190E43">
        <w:rPr>
          <w:rFonts w:ascii="Cambria" w:hAnsi="Cambria"/>
        </w:rPr>
        <w:t xml:space="preserve">(a) </w:t>
      </w:r>
      <w:r w:rsidR="00C07AA3" w:rsidRPr="00190E43">
        <w:rPr>
          <w:rFonts w:ascii="Cambria" w:hAnsi="Cambria"/>
        </w:rPr>
        <w:t>Distribution of host plant richness measured by t</w:t>
      </w:r>
      <w:r w:rsidR="002F2407" w:rsidRPr="00190E43">
        <w:rPr>
          <w:rFonts w:ascii="Cambria" w:hAnsi="Cambria"/>
        </w:rPr>
        <w:t xml:space="preserve">he number of host plant families. (b) Distribution of </w:t>
      </w:r>
      <w:r w:rsidR="00C07AA3" w:rsidRPr="00190E43">
        <w:rPr>
          <w:rFonts w:ascii="Cambria" w:hAnsi="Cambria"/>
        </w:rPr>
        <w:t xml:space="preserve">host plant richness measured by </w:t>
      </w:r>
      <w:r w:rsidR="00190E43" w:rsidRPr="00190E43">
        <w:rPr>
          <w:rFonts w:ascii="Cambria" w:hAnsi="Cambria"/>
        </w:rPr>
        <w:t xml:space="preserve">the </w:t>
      </w:r>
      <w:r w:rsidR="002F2407" w:rsidRPr="00190E43">
        <w:rPr>
          <w:rFonts w:ascii="Cambria" w:hAnsi="Cambria"/>
        </w:rPr>
        <w:t>phylogenetic distance (PD) of host plant</w:t>
      </w:r>
      <w:r w:rsidR="00C07AA3" w:rsidRPr="00190E43">
        <w:rPr>
          <w:rFonts w:ascii="Cambria" w:hAnsi="Cambria"/>
        </w:rPr>
        <w:t xml:space="preserve"> families</w:t>
      </w:r>
      <w:r w:rsidR="002F2407" w:rsidRPr="00190E43">
        <w:rPr>
          <w:rFonts w:ascii="Cambria" w:hAnsi="Cambria"/>
        </w:rPr>
        <w:t xml:space="preserve">. (c) Distribution of host plant divergence </w:t>
      </w:r>
      <w:r w:rsidR="00190E43" w:rsidRPr="00190E43">
        <w:rPr>
          <w:rFonts w:ascii="Cambria" w:hAnsi="Cambria"/>
        </w:rPr>
        <w:t xml:space="preserve">measured by the mean pairwise distance (MPD, red) and the mean nearest taxon distance (MNTD, blue). (d) Distribution of host plant divergence measured by the </w:t>
      </w:r>
      <w:r w:rsidR="006D1AC1" w:rsidRPr="002C5C81">
        <w:rPr>
          <w:rFonts w:ascii="Cambria" w:hAnsi="Cambria"/>
        </w:rPr>
        <w:t>distance-based speciation index</w:t>
      </w:r>
      <w:r w:rsidR="006D1AC1">
        <w:rPr>
          <w:rFonts w:ascii="Cambria" w:hAnsi="Cambria"/>
        </w:rPr>
        <w:t xml:space="preserve"> (DSI)</w:t>
      </w:r>
      <w:r w:rsidR="00190E43" w:rsidRPr="00190E43">
        <w:rPr>
          <w:rFonts w:ascii="Cambria" w:hAnsi="Cambria"/>
        </w:rPr>
        <w:t xml:space="preserve"> </w:t>
      </w:r>
      <w:r w:rsidR="006D1AC1">
        <w:rPr>
          <w:rFonts w:ascii="Cambria" w:hAnsi="Cambria"/>
        </w:rPr>
        <w:t xml:space="preserve">calculated from the normalized </w:t>
      </w:r>
      <w:r w:rsidR="00190E43" w:rsidRPr="00190E43">
        <w:rPr>
          <w:rFonts w:ascii="Cambria" w:hAnsi="Cambria"/>
        </w:rPr>
        <w:t xml:space="preserve">MPD </w:t>
      </w:r>
      <w:r w:rsidR="006D1AC1">
        <w:rPr>
          <w:rFonts w:ascii="Cambria" w:hAnsi="Cambria"/>
        </w:rPr>
        <w:t>(</w:t>
      </w:r>
      <w:r w:rsidR="00190E43" w:rsidRPr="00190E43">
        <w:rPr>
          <w:rFonts w:ascii="Cambria" w:hAnsi="Cambria"/>
        </w:rPr>
        <w:t xml:space="preserve">red) and MNTD </w:t>
      </w:r>
      <w:r w:rsidR="006D1AC1">
        <w:rPr>
          <w:rFonts w:ascii="Cambria" w:hAnsi="Cambria"/>
        </w:rPr>
        <w:t>(</w:t>
      </w:r>
      <w:r w:rsidR="00190E43" w:rsidRPr="00190E43">
        <w:rPr>
          <w:rFonts w:ascii="Cambria" w:hAnsi="Cambria"/>
        </w:rPr>
        <w:t>blue).</w:t>
      </w:r>
    </w:p>
    <w:p w14:paraId="1335BA6D" w14:textId="0F3DB647" w:rsidR="00190E43" w:rsidRDefault="00190E43">
      <w:pPr>
        <w:rPr>
          <w:rFonts w:ascii="Cambria" w:hAnsi="Cambria"/>
        </w:rPr>
      </w:pPr>
    </w:p>
    <w:p w14:paraId="4D866AA1" w14:textId="25373CBA" w:rsidR="00190E43" w:rsidRPr="006F444C" w:rsidRDefault="006F444C">
      <w:pPr>
        <w:rPr>
          <w:rFonts w:ascii="Cambria" w:hAnsi="Cambria"/>
          <w:b/>
          <w:bCs/>
        </w:rPr>
      </w:pPr>
      <w:r w:rsidRPr="006F444C">
        <w:rPr>
          <w:rFonts w:ascii="Cambria" w:hAnsi="Cambria"/>
          <w:b/>
          <w:bCs/>
        </w:rPr>
        <w:t>Reference</w:t>
      </w:r>
    </w:p>
    <w:p w14:paraId="4FD83EB1" w14:textId="77777777" w:rsidR="00190E43" w:rsidRDefault="00190E43">
      <w:pPr>
        <w:rPr>
          <w:rFonts w:ascii="Cambria" w:hAnsi="Cambria"/>
          <w:b/>
          <w:bCs/>
        </w:rPr>
      </w:pPr>
    </w:p>
    <w:p w14:paraId="3165A893" w14:textId="77777777" w:rsidR="00190E43" w:rsidRPr="00190E43" w:rsidRDefault="00190E43" w:rsidP="00190E43">
      <w:pPr>
        <w:pStyle w:val="EndNoteBibliography"/>
        <w:ind w:left="720" w:hanging="720"/>
        <w:rPr>
          <w:noProof/>
        </w:rPr>
      </w:pPr>
      <w:r>
        <w:rPr>
          <w:rFonts w:ascii="Cambria" w:hAnsi="Cambria"/>
          <w:b/>
          <w:bCs/>
        </w:rPr>
        <w:fldChar w:fldCharType="begin"/>
      </w:r>
      <w:r>
        <w:rPr>
          <w:rFonts w:ascii="Cambria" w:hAnsi="Cambria"/>
          <w:b/>
          <w:bCs/>
        </w:rPr>
        <w:instrText xml:space="preserve"> ADDIN EN.REFLIST </w:instrText>
      </w:r>
      <w:r>
        <w:rPr>
          <w:rFonts w:ascii="Cambria" w:hAnsi="Cambria"/>
          <w:b/>
          <w:bCs/>
        </w:rPr>
        <w:fldChar w:fldCharType="separate"/>
      </w:r>
      <w:r w:rsidRPr="00190E43">
        <w:rPr>
          <w:noProof/>
        </w:rPr>
        <w:t>1.</w:t>
      </w:r>
      <w:r w:rsidRPr="00190E43">
        <w:rPr>
          <w:noProof/>
        </w:rPr>
        <w:tab/>
        <w:t>S. W. Kembel</w:t>
      </w:r>
      <w:r w:rsidRPr="00190E43">
        <w:rPr>
          <w:i/>
          <w:noProof/>
        </w:rPr>
        <w:t xml:space="preserve"> et al.</w:t>
      </w:r>
      <w:r w:rsidRPr="00190E43">
        <w:rPr>
          <w:noProof/>
        </w:rPr>
        <w:t xml:space="preserve">, Picante: R tools for integrating phylogenies and ecology. </w:t>
      </w:r>
      <w:r w:rsidRPr="00190E43">
        <w:rPr>
          <w:i/>
          <w:noProof/>
        </w:rPr>
        <w:t>Bioinformatics</w:t>
      </w:r>
      <w:r w:rsidRPr="00190E43">
        <w:rPr>
          <w:noProof/>
        </w:rPr>
        <w:t xml:space="preserve"> </w:t>
      </w:r>
      <w:r w:rsidRPr="00190E43">
        <w:rPr>
          <w:b/>
          <w:noProof/>
        </w:rPr>
        <w:t>26</w:t>
      </w:r>
      <w:r w:rsidRPr="00190E43">
        <w:rPr>
          <w:noProof/>
        </w:rPr>
        <w:t>, 1463-1464 (2010).</w:t>
      </w:r>
    </w:p>
    <w:p w14:paraId="5018172E" w14:textId="77777777" w:rsidR="00190E43" w:rsidRPr="00190E43" w:rsidRDefault="00190E43" w:rsidP="00190E43">
      <w:pPr>
        <w:pStyle w:val="EndNoteBibliography"/>
        <w:ind w:left="720" w:hanging="720"/>
        <w:rPr>
          <w:noProof/>
        </w:rPr>
      </w:pPr>
      <w:r w:rsidRPr="00190E43">
        <w:rPr>
          <w:noProof/>
        </w:rPr>
        <w:t>2.</w:t>
      </w:r>
      <w:r w:rsidRPr="00190E43">
        <w:rPr>
          <w:noProof/>
        </w:rPr>
        <w:tab/>
        <w:t xml:space="preserve">D. P. Faith, Conservation evaluation and phylogenetic diversity. </w:t>
      </w:r>
      <w:r w:rsidRPr="00190E43">
        <w:rPr>
          <w:i/>
          <w:noProof/>
        </w:rPr>
        <w:t>Biol Conserv</w:t>
      </w:r>
      <w:r w:rsidRPr="00190E43">
        <w:rPr>
          <w:noProof/>
        </w:rPr>
        <w:t xml:space="preserve"> </w:t>
      </w:r>
      <w:r w:rsidRPr="00190E43">
        <w:rPr>
          <w:b/>
          <w:noProof/>
        </w:rPr>
        <w:t>61</w:t>
      </w:r>
      <w:r w:rsidRPr="00190E43">
        <w:rPr>
          <w:noProof/>
        </w:rPr>
        <w:t>, 1-10 (1992).</w:t>
      </w:r>
    </w:p>
    <w:p w14:paraId="12DBA797" w14:textId="77777777" w:rsidR="00190E43" w:rsidRPr="00190E43" w:rsidRDefault="00190E43" w:rsidP="00190E43">
      <w:pPr>
        <w:pStyle w:val="EndNoteBibliography"/>
        <w:ind w:left="720" w:hanging="720"/>
        <w:rPr>
          <w:noProof/>
        </w:rPr>
      </w:pPr>
      <w:r w:rsidRPr="00190E43">
        <w:rPr>
          <w:noProof/>
        </w:rPr>
        <w:t>3.</w:t>
      </w:r>
      <w:r w:rsidRPr="00190E43">
        <w:rPr>
          <w:noProof/>
        </w:rPr>
        <w:tab/>
        <w:t xml:space="preserve">C. O. Webb, D. D. Ackerly, M. A. McPeek, M. J. Donoghue, Phylogenies and community ecology. </w:t>
      </w:r>
      <w:r w:rsidRPr="00190E43">
        <w:rPr>
          <w:i/>
          <w:noProof/>
        </w:rPr>
        <w:t>Annu Rev Ecol Syst</w:t>
      </w:r>
      <w:r w:rsidRPr="00190E43">
        <w:rPr>
          <w:noProof/>
        </w:rPr>
        <w:t xml:space="preserve"> </w:t>
      </w:r>
      <w:r w:rsidRPr="00190E43">
        <w:rPr>
          <w:b/>
          <w:noProof/>
        </w:rPr>
        <w:t>33</w:t>
      </w:r>
      <w:r w:rsidRPr="00190E43">
        <w:rPr>
          <w:noProof/>
        </w:rPr>
        <w:t>, 475-505 (2002).</w:t>
      </w:r>
    </w:p>
    <w:p w14:paraId="4A949C90" w14:textId="77777777" w:rsidR="00190E43" w:rsidRPr="00190E43" w:rsidRDefault="00190E43" w:rsidP="00190E43">
      <w:pPr>
        <w:pStyle w:val="EndNoteBibliography"/>
        <w:ind w:left="720" w:hanging="720"/>
        <w:rPr>
          <w:noProof/>
        </w:rPr>
      </w:pPr>
      <w:r w:rsidRPr="00190E43">
        <w:rPr>
          <w:rFonts w:hint="eastAsia"/>
          <w:noProof/>
        </w:rPr>
        <w:t>4.</w:t>
      </w:r>
      <w:r w:rsidRPr="00190E43">
        <w:rPr>
          <w:rFonts w:hint="eastAsia"/>
          <w:noProof/>
        </w:rPr>
        <w:tab/>
        <w:t>L. R. Jorge, P. I. Prado, M. Almeida</w:t>
      </w:r>
      <w:r w:rsidRPr="00190E43">
        <w:rPr>
          <w:rFonts w:hint="eastAsia"/>
          <w:noProof/>
        </w:rPr>
        <w:t>‐</w:t>
      </w:r>
      <w:r w:rsidRPr="00190E43">
        <w:rPr>
          <w:rFonts w:hint="eastAsia"/>
          <w:noProof/>
        </w:rPr>
        <w:t xml:space="preserve">Neto, T. M. Lewinsohn, An integrated framework to improve the concept of resource specialisation. </w:t>
      </w:r>
      <w:r w:rsidRPr="00190E43">
        <w:rPr>
          <w:rFonts w:hint="eastAsia"/>
          <w:i/>
          <w:noProof/>
        </w:rPr>
        <w:t>Ecol Lett</w:t>
      </w:r>
      <w:r w:rsidRPr="00190E43">
        <w:rPr>
          <w:rFonts w:hint="eastAsia"/>
          <w:noProof/>
        </w:rPr>
        <w:t xml:space="preserve"> </w:t>
      </w:r>
      <w:r w:rsidRPr="00190E43">
        <w:rPr>
          <w:rFonts w:hint="eastAsia"/>
          <w:b/>
          <w:noProof/>
        </w:rPr>
        <w:t>17</w:t>
      </w:r>
      <w:r w:rsidRPr="00190E43">
        <w:rPr>
          <w:rFonts w:hint="eastAsia"/>
          <w:noProof/>
        </w:rPr>
        <w:t>, 1341-13</w:t>
      </w:r>
      <w:r w:rsidRPr="00190E43">
        <w:rPr>
          <w:noProof/>
        </w:rPr>
        <w:t>50 (2014).</w:t>
      </w:r>
    </w:p>
    <w:p w14:paraId="3F413F21" w14:textId="77777777" w:rsidR="00190E43" w:rsidRPr="00190E43" w:rsidRDefault="00190E43" w:rsidP="00190E43">
      <w:pPr>
        <w:pStyle w:val="EndNoteBibliography"/>
        <w:ind w:left="720" w:hanging="720"/>
        <w:rPr>
          <w:noProof/>
        </w:rPr>
      </w:pPr>
      <w:r w:rsidRPr="00190E43">
        <w:rPr>
          <w:noProof/>
        </w:rPr>
        <w:t>5.</w:t>
      </w:r>
      <w:r w:rsidRPr="00190E43">
        <w:rPr>
          <w:noProof/>
        </w:rPr>
        <w:tab/>
        <w:t xml:space="preserve">S. A. Smith, J. W. Brown, Constructing a broadly inclusive seed plant phylogeny. </w:t>
      </w:r>
      <w:r w:rsidRPr="00190E43">
        <w:rPr>
          <w:i/>
          <w:noProof/>
        </w:rPr>
        <w:t>Am J Bot</w:t>
      </w:r>
      <w:r w:rsidRPr="00190E43">
        <w:rPr>
          <w:noProof/>
        </w:rPr>
        <w:t xml:space="preserve"> </w:t>
      </w:r>
      <w:r w:rsidRPr="00190E43">
        <w:rPr>
          <w:b/>
          <w:noProof/>
        </w:rPr>
        <w:t>105</w:t>
      </w:r>
      <w:r w:rsidRPr="00190E43">
        <w:rPr>
          <w:noProof/>
        </w:rPr>
        <w:t>, 302-314 (2018).</w:t>
      </w:r>
    </w:p>
    <w:p w14:paraId="62DE1EA8" w14:textId="42472AC9" w:rsidR="006A2955" w:rsidRPr="006A2955" w:rsidRDefault="00190E4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fldChar w:fldCharType="end"/>
      </w:r>
    </w:p>
    <w:sectPr w:rsidR="006A2955" w:rsidRPr="006A2955" w:rsidSect="0000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i Liming" w:date="2021-04-16T20:33:00Z" w:initials="CL">
    <w:p w14:paraId="6A11CC61" w14:textId="428AA899" w:rsidR="00F116B2" w:rsidRDefault="00F116B2">
      <w:pPr>
        <w:pStyle w:val="CommentText"/>
      </w:pPr>
      <w:r>
        <w:rPr>
          <w:rStyle w:val="CommentReference"/>
        </w:rPr>
        <w:annotationRef/>
      </w:r>
      <w:r>
        <w:t xml:space="preserve">This term may need to be defined or changed according to the context. Here ‘monophagous’ means feed on one host family. </w:t>
      </w:r>
    </w:p>
  </w:comment>
  <w:comment w:id="1" w:author="Cai Liming" w:date="2021-04-16T23:33:00Z" w:initials="CL">
    <w:p w14:paraId="4D90958B" w14:textId="2A01DD9E" w:rsidR="001E3C02" w:rsidRDefault="001E3C02">
      <w:pPr>
        <w:pStyle w:val="CommentText"/>
      </w:pPr>
      <w:r>
        <w:rPr>
          <w:rStyle w:val="CommentReference"/>
        </w:rPr>
        <w:annotationRef/>
      </w:r>
      <w:r>
        <w:t>This information is extracted from the host plant spreadsheet</w:t>
      </w:r>
      <w:r w:rsidR="004B3C8B">
        <w:t xml:space="preserve"> (</w:t>
      </w:r>
      <w:r w:rsidR="004B3C8B" w:rsidRPr="004B3C8B">
        <w:t>Hosts_genus_revised_Sep2.csv</w:t>
      </w:r>
      <w:r w:rsidR="004B3C8B">
        <w:t>)</w:t>
      </w:r>
      <w:r>
        <w:t xml:space="preserve">. </w:t>
      </w:r>
      <w:r w:rsidR="004B3C8B">
        <w:t xml:space="preserve">But </w:t>
      </w:r>
      <w:r w:rsidR="00203BC2">
        <w:t>according to Wikipedia and the master spread database, it feeds on Quercus and aphids.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A11CC61" w15:done="0"/>
  <w15:commentEx w15:paraId="4D9095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47322" w16cex:dateUtc="2021-04-17T03:33:00Z"/>
  <w16cex:commentExtensible w16cex:durableId="24249D55" w16cex:dateUtc="2021-04-17T06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11CC61" w16cid:durableId="24247322"/>
  <w16cid:commentId w16cid:paraId="4D90958B" w16cid:durableId="24249D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i Liming">
    <w15:presenceInfo w15:providerId="Windows Live" w15:userId="6be225d2e6ea8d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Scienc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wpwaxr990vd3ev50rpvvap5tpsxew2zpea&quot;&gt;My EndNote Library&lt;record-ids&gt;&lt;item&gt;1285&lt;/item&gt;&lt;item&gt;1286&lt;/item&gt;&lt;item&gt;1287&lt;/item&gt;&lt;item&gt;1288&lt;/item&gt;&lt;item&gt;1289&lt;/item&gt;&lt;/record-ids&gt;&lt;/item&gt;&lt;/Libraries&gt;"/>
  </w:docVars>
  <w:rsids>
    <w:rsidRoot w:val="006A2955"/>
    <w:rsid w:val="00002A3B"/>
    <w:rsid w:val="00010FE4"/>
    <w:rsid w:val="00025BF6"/>
    <w:rsid w:val="000279E2"/>
    <w:rsid w:val="000311AB"/>
    <w:rsid w:val="000345DE"/>
    <w:rsid w:val="00046F4B"/>
    <w:rsid w:val="00050A86"/>
    <w:rsid w:val="00061BA1"/>
    <w:rsid w:val="00070253"/>
    <w:rsid w:val="000725C4"/>
    <w:rsid w:val="00075952"/>
    <w:rsid w:val="00091A06"/>
    <w:rsid w:val="000A47D5"/>
    <w:rsid w:val="000A490C"/>
    <w:rsid w:val="000A733F"/>
    <w:rsid w:val="000B2F4A"/>
    <w:rsid w:val="000F39F0"/>
    <w:rsid w:val="000F64E5"/>
    <w:rsid w:val="000F6819"/>
    <w:rsid w:val="00105504"/>
    <w:rsid w:val="00113A73"/>
    <w:rsid w:val="001272E3"/>
    <w:rsid w:val="00136E5C"/>
    <w:rsid w:val="001467AD"/>
    <w:rsid w:val="00156D32"/>
    <w:rsid w:val="001628BB"/>
    <w:rsid w:val="001717B5"/>
    <w:rsid w:val="0018328B"/>
    <w:rsid w:val="00183BED"/>
    <w:rsid w:val="0018709D"/>
    <w:rsid w:val="00187E8A"/>
    <w:rsid w:val="00190E43"/>
    <w:rsid w:val="001A1CE6"/>
    <w:rsid w:val="001C10B7"/>
    <w:rsid w:val="001C5824"/>
    <w:rsid w:val="001C78F2"/>
    <w:rsid w:val="001D1863"/>
    <w:rsid w:val="001D3F21"/>
    <w:rsid w:val="001D4CD7"/>
    <w:rsid w:val="001E3C02"/>
    <w:rsid w:val="001F0A08"/>
    <w:rsid w:val="001F48D2"/>
    <w:rsid w:val="00203BC2"/>
    <w:rsid w:val="00213049"/>
    <w:rsid w:val="002260F6"/>
    <w:rsid w:val="00242986"/>
    <w:rsid w:val="00244403"/>
    <w:rsid w:val="00247E65"/>
    <w:rsid w:val="00251D8B"/>
    <w:rsid w:val="0026039D"/>
    <w:rsid w:val="00264A49"/>
    <w:rsid w:val="00270DC4"/>
    <w:rsid w:val="00272B35"/>
    <w:rsid w:val="00277C44"/>
    <w:rsid w:val="0028078B"/>
    <w:rsid w:val="00290B66"/>
    <w:rsid w:val="00292776"/>
    <w:rsid w:val="002C5C81"/>
    <w:rsid w:val="002D2274"/>
    <w:rsid w:val="002E0A31"/>
    <w:rsid w:val="002E17B3"/>
    <w:rsid w:val="002F2407"/>
    <w:rsid w:val="002F7196"/>
    <w:rsid w:val="003143D8"/>
    <w:rsid w:val="00320292"/>
    <w:rsid w:val="00332159"/>
    <w:rsid w:val="003324F1"/>
    <w:rsid w:val="00344D19"/>
    <w:rsid w:val="00345BCB"/>
    <w:rsid w:val="00352427"/>
    <w:rsid w:val="00354477"/>
    <w:rsid w:val="00364571"/>
    <w:rsid w:val="00382CCE"/>
    <w:rsid w:val="003B099E"/>
    <w:rsid w:val="003B487F"/>
    <w:rsid w:val="003B5E97"/>
    <w:rsid w:val="003B7AA3"/>
    <w:rsid w:val="003C5CAF"/>
    <w:rsid w:val="003D24E2"/>
    <w:rsid w:val="003D2E71"/>
    <w:rsid w:val="003D3012"/>
    <w:rsid w:val="003E0B35"/>
    <w:rsid w:val="003E4479"/>
    <w:rsid w:val="003F33FA"/>
    <w:rsid w:val="00402FC4"/>
    <w:rsid w:val="00410966"/>
    <w:rsid w:val="00413AEC"/>
    <w:rsid w:val="00415A36"/>
    <w:rsid w:val="004243E1"/>
    <w:rsid w:val="00431096"/>
    <w:rsid w:val="004332EF"/>
    <w:rsid w:val="004368BC"/>
    <w:rsid w:val="00436F0D"/>
    <w:rsid w:val="00437E28"/>
    <w:rsid w:val="00460A63"/>
    <w:rsid w:val="004A1BE2"/>
    <w:rsid w:val="004A5DF6"/>
    <w:rsid w:val="004B3C8B"/>
    <w:rsid w:val="004B43BB"/>
    <w:rsid w:val="004B4EA0"/>
    <w:rsid w:val="004C27C9"/>
    <w:rsid w:val="004D03EC"/>
    <w:rsid w:val="004E3354"/>
    <w:rsid w:val="004E67EB"/>
    <w:rsid w:val="00552832"/>
    <w:rsid w:val="0056736B"/>
    <w:rsid w:val="005675D8"/>
    <w:rsid w:val="00570444"/>
    <w:rsid w:val="00576F22"/>
    <w:rsid w:val="00580C98"/>
    <w:rsid w:val="005879EF"/>
    <w:rsid w:val="00592F26"/>
    <w:rsid w:val="00597966"/>
    <w:rsid w:val="005A1DF1"/>
    <w:rsid w:val="005B5187"/>
    <w:rsid w:val="005B62D6"/>
    <w:rsid w:val="005C16C6"/>
    <w:rsid w:val="005C4FE1"/>
    <w:rsid w:val="005C5073"/>
    <w:rsid w:val="005C7EE8"/>
    <w:rsid w:val="005D0D38"/>
    <w:rsid w:val="005D5195"/>
    <w:rsid w:val="005E502F"/>
    <w:rsid w:val="005E6BD7"/>
    <w:rsid w:val="005E71A4"/>
    <w:rsid w:val="006077CE"/>
    <w:rsid w:val="00610AC8"/>
    <w:rsid w:val="00613CEE"/>
    <w:rsid w:val="00615760"/>
    <w:rsid w:val="0061639E"/>
    <w:rsid w:val="00630702"/>
    <w:rsid w:val="00635028"/>
    <w:rsid w:val="006400E8"/>
    <w:rsid w:val="00640101"/>
    <w:rsid w:val="00641662"/>
    <w:rsid w:val="00642AF7"/>
    <w:rsid w:val="006464D6"/>
    <w:rsid w:val="0065149D"/>
    <w:rsid w:val="006548AB"/>
    <w:rsid w:val="00667319"/>
    <w:rsid w:val="00672AFC"/>
    <w:rsid w:val="006734AA"/>
    <w:rsid w:val="00691598"/>
    <w:rsid w:val="00692D6B"/>
    <w:rsid w:val="00694DFC"/>
    <w:rsid w:val="006A2955"/>
    <w:rsid w:val="006B4949"/>
    <w:rsid w:val="006D163D"/>
    <w:rsid w:val="006D1AC1"/>
    <w:rsid w:val="006D41B4"/>
    <w:rsid w:val="006D7ADE"/>
    <w:rsid w:val="006F444C"/>
    <w:rsid w:val="006F78CB"/>
    <w:rsid w:val="007018AA"/>
    <w:rsid w:val="00701E74"/>
    <w:rsid w:val="00720581"/>
    <w:rsid w:val="00731C47"/>
    <w:rsid w:val="00734517"/>
    <w:rsid w:val="00744814"/>
    <w:rsid w:val="0074617D"/>
    <w:rsid w:val="00751939"/>
    <w:rsid w:val="007523B6"/>
    <w:rsid w:val="00753DB3"/>
    <w:rsid w:val="00784D69"/>
    <w:rsid w:val="00790891"/>
    <w:rsid w:val="007A20A7"/>
    <w:rsid w:val="007A6673"/>
    <w:rsid w:val="007B19D7"/>
    <w:rsid w:val="007B2BE2"/>
    <w:rsid w:val="007B2C84"/>
    <w:rsid w:val="007C2A37"/>
    <w:rsid w:val="007E11C9"/>
    <w:rsid w:val="007E304B"/>
    <w:rsid w:val="007F30DD"/>
    <w:rsid w:val="008016BA"/>
    <w:rsid w:val="008067B4"/>
    <w:rsid w:val="00821823"/>
    <w:rsid w:val="008364DD"/>
    <w:rsid w:val="008640EF"/>
    <w:rsid w:val="008757A0"/>
    <w:rsid w:val="00883F2A"/>
    <w:rsid w:val="008866F6"/>
    <w:rsid w:val="008950BB"/>
    <w:rsid w:val="0089615A"/>
    <w:rsid w:val="008C2B9B"/>
    <w:rsid w:val="008C3EEC"/>
    <w:rsid w:val="008D54D9"/>
    <w:rsid w:val="008E04F8"/>
    <w:rsid w:val="008E160D"/>
    <w:rsid w:val="008E19A7"/>
    <w:rsid w:val="00902043"/>
    <w:rsid w:val="009102EF"/>
    <w:rsid w:val="009135B8"/>
    <w:rsid w:val="00914BC8"/>
    <w:rsid w:val="009175C9"/>
    <w:rsid w:val="00921F2B"/>
    <w:rsid w:val="00922907"/>
    <w:rsid w:val="00924C6F"/>
    <w:rsid w:val="0094002E"/>
    <w:rsid w:val="0095514C"/>
    <w:rsid w:val="009611D7"/>
    <w:rsid w:val="00975C6E"/>
    <w:rsid w:val="0097650D"/>
    <w:rsid w:val="00982C8D"/>
    <w:rsid w:val="00987229"/>
    <w:rsid w:val="009949E8"/>
    <w:rsid w:val="009A1918"/>
    <w:rsid w:val="009A705C"/>
    <w:rsid w:val="009C5E0A"/>
    <w:rsid w:val="009E0C21"/>
    <w:rsid w:val="009E4168"/>
    <w:rsid w:val="009F3D1D"/>
    <w:rsid w:val="00A01E96"/>
    <w:rsid w:val="00A03454"/>
    <w:rsid w:val="00A1195D"/>
    <w:rsid w:val="00A1438E"/>
    <w:rsid w:val="00A212E8"/>
    <w:rsid w:val="00A243ED"/>
    <w:rsid w:val="00A33A5F"/>
    <w:rsid w:val="00A3679A"/>
    <w:rsid w:val="00A45180"/>
    <w:rsid w:val="00A45B55"/>
    <w:rsid w:val="00A45C9B"/>
    <w:rsid w:val="00A50682"/>
    <w:rsid w:val="00A57914"/>
    <w:rsid w:val="00A57C63"/>
    <w:rsid w:val="00A639E6"/>
    <w:rsid w:val="00A77156"/>
    <w:rsid w:val="00A84BED"/>
    <w:rsid w:val="00A8699E"/>
    <w:rsid w:val="00AA347E"/>
    <w:rsid w:val="00AB360B"/>
    <w:rsid w:val="00AD1D21"/>
    <w:rsid w:val="00AD5571"/>
    <w:rsid w:val="00B02015"/>
    <w:rsid w:val="00B36B00"/>
    <w:rsid w:val="00B50B62"/>
    <w:rsid w:val="00B51E9A"/>
    <w:rsid w:val="00B63ED5"/>
    <w:rsid w:val="00B6576F"/>
    <w:rsid w:val="00B73FD8"/>
    <w:rsid w:val="00B75F62"/>
    <w:rsid w:val="00B810B4"/>
    <w:rsid w:val="00B8180D"/>
    <w:rsid w:val="00B861F2"/>
    <w:rsid w:val="00B9340D"/>
    <w:rsid w:val="00BC0668"/>
    <w:rsid w:val="00BC1F6C"/>
    <w:rsid w:val="00BC3B31"/>
    <w:rsid w:val="00BD43E0"/>
    <w:rsid w:val="00BE1FC4"/>
    <w:rsid w:val="00BF15BA"/>
    <w:rsid w:val="00C008FC"/>
    <w:rsid w:val="00C04DA6"/>
    <w:rsid w:val="00C06C48"/>
    <w:rsid w:val="00C07AA3"/>
    <w:rsid w:val="00C15FEC"/>
    <w:rsid w:val="00C20FA5"/>
    <w:rsid w:val="00C3067B"/>
    <w:rsid w:val="00C3113E"/>
    <w:rsid w:val="00C3193F"/>
    <w:rsid w:val="00C34673"/>
    <w:rsid w:val="00C36394"/>
    <w:rsid w:val="00C37882"/>
    <w:rsid w:val="00C42183"/>
    <w:rsid w:val="00C46B9E"/>
    <w:rsid w:val="00C520CF"/>
    <w:rsid w:val="00C664B0"/>
    <w:rsid w:val="00C966FF"/>
    <w:rsid w:val="00CB2BC3"/>
    <w:rsid w:val="00CB50D2"/>
    <w:rsid w:val="00CC77A9"/>
    <w:rsid w:val="00CD6018"/>
    <w:rsid w:val="00CF7286"/>
    <w:rsid w:val="00D02567"/>
    <w:rsid w:val="00D0668B"/>
    <w:rsid w:val="00D1098D"/>
    <w:rsid w:val="00D16B95"/>
    <w:rsid w:val="00D24BB1"/>
    <w:rsid w:val="00D44D33"/>
    <w:rsid w:val="00D55F8A"/>
    <w:rsid w:val="00D6122B"/>
    <w:rsid w:val="00D6232D"/>
    <w:rsid w:val="00D631CE"/>
    <w:rsid w:val="00D84589"/>
    <w:rsid w:val="00D8512E"/>
    <w:rsid w:val="00D93F6D"/>
    <w:rsid w:val="00D94AF6"/>
    <w:rsid w:val="00D96B66"/>
    <w:rsid w:val="00DA1F42"/>
    <w:rsid w:val="00DA3E38"/>
    <w:rsid w:val="00DB49A5"/>
    <w:rsid w:val="00DB6183"/>
    <w:rsid w:val="00DD3E79"/>
    <w:rsid w:val="00E06C2A"/>
    <w:rsid w:val="00E137F0"/>
    <w:rsid w:val="00E2011C"/>
    <w:rsid w:val="00E35D00"/>
    <w:rsid w:val="00E53D13"/>
    <w:rsid w:val="00E91F39"/>
    <w:rsid w:val="00E921B2"/>
    <w:rsid w:val="00E92448"/>
    <w:rsid w:val="00EC0BCE"/>
    <w:rsid w:val="00EC646C"/>
    <w:rsid w:val="00ED22C4"/>
    <w:rsid w:val="00ED2A06"/>
    <w:rsid w:val="00ED3D76"/>
    <w:rsid w:val="00EF4886"/>
    <w:rsid w:val="00EF7CB1"/>
    <w:rsid w:val="00F0651E"/>
    <w:rsid w:val="00F116B2"/>
    <w:rsid w:val="00F209B2"/>
    <w:rsid w:val="00F273E4"/>
    <w:rsid w:val="00F3453F"/>
    <w:rsid w:val="00F626DE"/>
    <w:rsid w:val="00F742DB"/>
    <w:rsid w:val="00F74A7E"/>
    <w:rsid w:val="00F9399C"/>
    <w:rsid w:val="00FB0C62"/>
    <w:rsid w:val="00FB17A5"/>
    <w:rsid w:val="00FC3115"/>
    <w:rsid w:val="00FD34A9"/>
    <w:rsid w:val="00FD4158"/>
    <w:rsid w:val="00FD43DA"/>
    <w:rsid w:val="00FE0655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D1346"/>
  <w15:chartTrackingRefBased/>
  <w15:docId w15:val="{3E9155B3-A6C5-3C4F-B988-DE48494A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90E43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0E43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190E43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190E43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F116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6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6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6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6B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523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6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5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Liming</dc:creator>
  <cp:keywords/>
  <dc:description/>
  <cp:lastModifiedBy>Cai Liming</cp:lastModifiedBy>
  <cp:revision>214</cp:revision>
  <dcterms:created xsi:type="dcterms:W3CDTF">2020-09-30T01:07:00Z</dcterms:created>
  <dcterms:modified xsi:type="dcterms:W3CDTF">2021-04-17T18:39:00Z</dcterms:modified>
</cp:coreProperties>
</file>