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120"/>
        <w:jc w:val="center"/>
      </w:pPr>
      <w:r>
        <w:rPr>
          <w:rFonts w:ascii="Arial" w:cs="Arial" w:eastAsia="Arial" w:hAnsi="Arial"/>
          <w:b/>
          <w:bCs/>
          <w:color w:val="1D3A5F"/>
          <w:sz w:val="38"/>
          <w:szCs w:val="38"/>
        </w:rPr>
        <w:t xml:space="preserve">PLAN DE IMPLEMENTACION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AF682C"/>
          <w:sz w:val="30"/>
          <w:szCs w:val="30"/>
        </w:rPr>
        <w:t xml:space="preserve">SaaS multicliente para Ventas IA</w:t>
      </w:r>
    </w:p>
    <w:p>
      <w:pPr>
        <w:spacing w:after="600"/>
        <w:jc w:val="center"/>
      </w:pPr>
      <w:r>
        <w:rPr>
          <w:rFonts w:ascii="Arial" w:cs="Arial" w:eastAsia="Arial" w:hAnsi="Arial"/>
          <w:color w:val="5D6B7B"/>
          <w:sz w:val="20"/>
          <w:szCs w:val="20"/>
        </w:rPr>
        <w:t xml:space="preserve">Versión 1.0 | 9 de octubre de 2026</w:t>
      </w:r>
    </w:p>
    <w:p>
      <w:pPr>
        <w:spacing w:after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Propósito. </w:t>
      </w:r>
      <w:r>
        <w:rPr>
          <w:rFonts w:ascii="Arial" w:cs="Arial" w:eastAsia="Arial" w:hAnsi="Arial"/>
          <w:sz w:val="20"/>
          <w:szCs w:val="20"/>
        </w:rPr>
        <w:t xml:space="preserve">Convertir el prototipo del agente comercial en un producto SaaS autoservicio, cobrable, seguro y aislado por comercio. La plataforma usará autenticación con Google, suscripción mensual por Mercado Pago, operación de datos en Google Drive y Google Sheets del cliente, WhatsApp Business propio de cada comercio y DeepSeek como motor de razonamiento.</w:t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1. Resultado objetivo</w:t>
      </w:r>
    </w:p>
    <w:p>
      <w:r>
        <w:rPr>
          <w:rFonts w:ascii="Arial" w:cs="Arial" w:eastAsia="Arial" w:hAnsi="Arial"/>
          <w:sz w:val="20"/>
          <w:szCs w:val="20"/>
        </w:rPr>
        <w:t xml:space="preserve">Un comercio podrá crear su cuenta con Google, pagar la suscripción, autorizar el acceso a su Drive, recibir automáticamente las plantillas operativas, conectar su WhatsApp Business y activar el agente sin requerir asistencia técnica.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1D3A5F"/>
          <w:sz w:val="20"/>
          <w:szCs w:val="20"/>
        </w:rPr>
        <w:t xml:space="preserve">Flujo objetivo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AF682C"/>
          <w:sz w:val="20"/>
          <w:szCs w:val="20"/>
        </w:rPr>
        <w:t xml:space="preserve">Google login  -&gt;  Suscripción activa  -&gt;  OAuth Drive/Sheets  -&gt;  Aprovisionamiento  -&gt;  WhatsApp validado  -&gt;  Agente activo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326"/>
      </w:tblGrid>
      <w:tr>
        <w:tc>
          <w:tcPr>
            <w:tcW w:type="dxa" w:w="17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0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3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de aislamiento</w:t>
            </w:r>
          </w:p>
        </w:tc>
      </w:tr>
      <w:tr>
        <w:tc>
          <w:tcPr>
            <w:tcW w:type="dxa" w:w="17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Identidad</w:t>
            </w:r>
          </w:p>
        </w:tc>
        <w:tc>
          <w:tcPr>
            <w:tcW w:type="dxa" w:w="40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Usuarios, sesiones y roles mediante Google.</w:t>
            </w:r>
          </w:p>
        </w:tc>
        <w:tc>
          <w:tcPr>
            <w:tcW w:type="dxa" w:w="33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La sesión determina el tenant; el navegador no lo elige libremente.</w:t>
            </w:r>
          </w:p>
        </w:tc>
      </w:tr>
      <w:tr>
        <w:tc>
          <w:tcPr>
            <w:tcW w:type="dxa" w:w="17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40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Planes, pagos, renovaciones y suspensión.</w:t>
            </w:r>
          </w:p>
        </w:tc>
        <w:tc>
          <w:tcPr>
            <w:tcW w:type="dxa" w:w="33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Solo Mercado Pago confirmado habilita operación.</w:t>
            </w:r>
          </w:p>
        </w:tc>
      </w:tr>
      <w:tr>
        <w:tc>
          <w:tcPr>
            <w:tcW w:type="dxa" w:w="17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Datos del comercio</w:t>
            </w:r>
          </w:p>
        </w:tc>
        <w:tc>
          <w:tcPr>
            <w:tcW w:type="dxa" w:w="40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Catálogo, clientes, pedidos y archivos del cliente.</w:t>
            </w:r>
          </w:p>
        </w:tc>
        <w:tc>
          <w:tcPr>
            <w:tcW w:type="dxa" w:w="33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Cada tenant autoriza su propia cuenta Google.</w:t>
            </w:r>
          </w:p>
        </w:tc>
      </w:tr>
      <w:tr>
        <w:tc>
          <w:tcPr>
            <w:tcW w:type="dxa" w:w="17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Agente</w:t>
            </w:r>
          </w:p>
        </w:tc>
        <w:tc>
          <w:tcPr>
            <w:tcW w:type="dxa" w:w="40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DeepSeek, herramientas, trazabilidad y límites.</w:t>
            </w:r>
          </w:p>
        </w:tc>
        <w:tc>
          <w:tcPr>
            <w:tcW w:type="dxa" w:w="33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Cada ejecución usa configuración, datos y cuota del tenant.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2. Principios de arquitectura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Google Sign-In identifica a la persona. Una sesión segura propia de la aplicación controla el acceso posterior.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OAuth de Google para Drive y Sheets es un consentimiento separado: autoriza a operar los datos del comercio y conserva refresh tokens cifrados en el servidor.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PostgreSQL será la fuente de verdad para identidad, suscripción, permisos, consumo y auditoría. Google Sheets conservará los datos operativos del negocio.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DeepSeek será una capacidad de plataforma: la clave API no se expone al tenant; cada comercio configura políticas y límites, no secretos.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Meta/WhatsApp Business es una cuenta y un costo del cliente. La suscripción cubre solamente la plataforma Ventas IA.</w:t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3. Plan por fases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550"/>
        <w:gridCol w:w="2200"/>
        <w:gridCol w:w="3226"/>
      </w:tblGrid>
      <w:tr>
        <w:tc>
          <w:tcPr>
            <w:tcW w:type="dxa" w:w="105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5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22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  <w:tc>
          <w:tcPr>
            <w:tcW w:type="dxa" w:w="32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cierre</w:t>
            </w:r>
          </w:p>
        </w:tc>
      </w:tr>
      <w:tr>
        <w:tc>
          <w:tcPr>
            <w:tcW w:type="dxa" w:w="105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0. Fundaciones</w:t>
            </w:r>
          </w:p>
        </w:tc>
        <w:tc>
          <w:tcPr>
            <w:tcW w:type="dxa" w:w="255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Decisiones de plan, estados y arquitectura.</w:t>
            </w:r>
          </w:p>
        </w:tc>
        <w:tc>
          <w:tcPr>
            <w:tcW w:type="dxa" w:w="22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Aprobación de producto.</w:t>
            </w:r>
          </w:p>
        </w:tc>
        <w:tc>
          <w:tcPr>
            <w:tcW w:type="dxa" w:w="32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Estados y reglas comerciales documentados.</w:t>
            </w:r>
          </w:p>
        </w:tc>
      </w:tr>
      <w:tr>
        <w:tc>
          <w:tcPr>
            <w:tcW w:type="dxa" w:w="105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1. Identidad</w:t>
            </w:r>
          </w:p>
        </w:tc>
        <w:tc>
          <w:tcPr>
            <w:tcW w:type="dxa" w:w="255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Google login, roles, sesiones y base PostgreSQL.</w:t>
            </w:r>
          </w:p>
        </w:tc>
        <w:tc>
          <w:tcPr>
            <w:tcW w:type="dxa" w:w="22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Proyecto Google Cloud.</w:t>
            </w:r>
          </w:p>
        </w:tc>
        <w:tc>
          <w:tcPr>
            <w:tcW w:type="dxa" w:w="32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Usuario entra, crea tenant y no ve datos ajenos.</w:t>
            </w:r>
          </w:p>
        </w:tc>
      </w:tr>
      <w:tr>
        <w:tc>
          <w:tcPr>
            <w:tcW w:type="dxa" w:w="105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2. Suscripción</w:t>
            </w:r>
          </w:p>
        </w:tc>
        <w:tc>
          <w:tcPr>
            <w:tcW w:type="dxa" w:w="255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Mercado Pago, webhooks e ingresos controlados.</w:t>
            </w:r>
          </w:p>
        </w:tc>
        <w:tc>
          <w:tcPr>
            <w:tcW w:type="dxa" w:w="22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Cuenta productiva Mercado Pago.</w:t>
            </w:r>
          </w:p>
        </w:tc>
        <w:tc>
          <w:tcPr>
            <w:tcW w:type="dxa" w:w="32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Pago confirmado activa; pago vencido bloquea operación.</w:t>
            </w:r>
          </w:p>
        </w:tc>
      </w:tr>
      <w:tr>
        <w:tc>
          <w:tcPr>
            <w:tcW w:type="dxa" w:w="105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3. Google operativo</w:t>
            </w:r>
          </w:p>
        </w:tc>
        <w:tc>
          <w:tcPr>
            <w:tcW w:type="dxa" w:w="255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OAuth, cifrado de tokens y conexión Drive/Sheets.</w:t>
            </w:r>
          </w:p>
        </w:tc>
        <w:tc>
          <w:tcPr>
            <w:tcW w:type="dxa" w:w="22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Consent screen y APIs habilitadas.</w:t>
            </w:r>
          </w:p>
        </w:tc>
        <w:tc>
          <w:tcPr>
            <w:tcW w:type="dxa" w:w="32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Tenant autoriza y puede reconectar si revoca permisos.</w:t>
            </w:r>
          </w:p>
        </w:tc>
      </w:tr>
      <w:tr>
        <w:tc>
          <w:tcPr>
            <w:tcW w:type="dxa" w:w="105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4. Aprovisionamiento</w:t>
            </w:r>
          </w:p>
        </w:tc>
        <w:tc>
          <w:tcPr>
            <w:tcW w:type="dxa" w:w="255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Carpetas, archivos, hojas y validaciones automáticas.</w:t>
            </w:r>
          </w:p>
        </w:tc>
        <w:tc>
          <w:tcPr>
            <w:tcW w:type="dxa" w:w="22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Fase 3.</w:t>
            </w:r>
          </w:p>
        </w:tc>
        <w:tc>
          <w:tcPr>
            <w:tcW w:type="dxa" w:w="32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Reintento no duplica recursos ni información.</w:t>
            </w:r>
          </w:p>
        </w:tc>
      </w:tr>
      <w:tr>
        <w:tc>
          <w:tcPr>
            <w:tcW w:type="dxa" w:w="105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5. Activación</w:t>
            </w:r>
          </w:p>
        </w:tc>
        <w:tc>
          <w:tcPr>
            <w:tcW w:type="dxa" w:w="255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Onboarding, WhatsApp y prueba integral.</w:t>
            </w:r>
          </w:p>
        </w:tc>
        <w:tc>
          <w:tcPr>
            <w:tcW w:type="dxa" w:w="22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Fases 2 a 4.</w:t>
            </w:r>
          </w:p>
        </w:tc>
        <w:tc>
          <w:tcPr>
            <w:tcW w:type="dxa" w:w="32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Checklist completo habilita al agente.</w:t>
            </w:r>
          </w:p>
        </w:tc>
      </w:tr>
      <w:tr>
        <w:tc>
          <w:tcPr>
            <w:tcW w:type="dxa" w:w="105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6. Operación SaaS</w:t>
            </w:r>
          </w:p>
        </w:tc>
        <w:tc>
          <w:tcPr>
            <w:tcW w:type="dxa" w:w="255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Cuotas, soporte, monitoreo y resiliencia.</w:t>
            </w:r>
          </w:p>
        </w:tc>
        <w:tc>
          <w:tcPr>
            <w:tcW w:type="dxa" w:w="22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Fase 5.</w:t>
            </w:r>
          </w:p>
        </w:tc>
        <w:tc>
          <w:tcPr>
            <w:tcW w:type="dxa" w:w="32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Uso medido, alarmas y recuperación comprobados.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4. Fase 0 - Fundaciones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Aprobar el plan comercial inicial: $89.000 COP/mes, hasta 1.000 domicilios o 5.000 interacciones del agente por periodo, lo que ocurra primero.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Definir roles: owner administra facturación e integraciones; operator opera pedidos; viewer consulta resultados.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Definir estados de suscripción: trial, pending_payment, active, past_due, grace_period, suspended y cancelled.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Definir estados de onboarding: account_created, subscribed, google_connected, provisioned, whatsapp_validated y active.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Seleccionar el proveedor de PostgreSQL, el gestor de secretos y el entorno de despliegue antes de almacenar datos reales.</w:t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5. Fase 1 - Identidad y multicliente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Implementación. </w:t>
      </w:r>
      <w:r>
        <w:rPr>
          <w:rFonts w:ascii="Arial" w:cs="Arial" w:eastAsia="Arial" w:hAnsi="Arial"/>
          <w:sz w:val="20"/>
          <w:szCs w:val="20"/>
        </w:rPr>
        <w:t xml:space="preserve">Integrar Google Sign-In en la interfaz; validar el ID token en Express; crear una sesión httpOnly/SameSite; registrar user, tenant y tenant_members; y reemplazar el almacenamiento JSON actual por PostgreSQL.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69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mínimos</w:t>
            </w:r>
          </w:p>
        </w:tc>
      </w:tr>
      <w:tr>
        <w:tc>
          <w:tcPr>
            <w:tcW w:type="dxa" w:w="21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users</w:t>
            </w:r>
          </w:p>
        </w:tc>
        <w:tc>
          <w:tcPr>
            <w:tcW w:type="dxa" w:w="69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id, google_subject, email, name, created_at</w:t>
            </w:r>
          </w:p>
        </w:tc>
      </w:tr>
      <w:tr>
        <w:tc>
          <w:tcPr>
            <w:tcW w:type="dxa" w:w="21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tenants</w:t>
            </w:r>
          </w:p>
        </w:tc>
        <w:tc>
          <w:tcPr>
            <w:tcW w:type="dxa" w:w="69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id, legal_name, display_name, lifecycle_state, created_at</w:t>
            </w:r>
          </w:p>
        </w:tc>
      </w:tr>
      <w:tr>
        <w:tc>
          <w:tcPr>
            <w:tcW w:type="dxa" w:w="21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tenant_members</w:t>
            </w:r>
          </w:p>
        </w:tc>
        <w:tc>
          <w:tcPr>
            <w:tcW w:type="dxa" w:w="69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tenant_id, user_id, role, status</w:t>
            </w:r>
          </w:p>
        </w:tc>
      </w:tr>
      <w:tr>
        <w:tc>
          <w:tcPr>
            <w:tcW w:type="dxa" w:w="21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sessions</w:t>
            </w:r>
          </w:p>
        </w:tc>
        <w:tc>
          <w:tcPr>
            <w:tcW w:type="dxa" w:w="69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id, user_id, expires_at, revoked_at</w:t>
            </w:r>
          </w:p>
        </w:tc>
      </w:tr>
      <w:tr>
        <w:tc>
          <w:tcPr>
            <w:tcW w:type="dxa" w:w="21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audit_events</w:t>
            </w:r>
          </w:p>
        </w:tc>
        <w:tc>
          <w:tcPr>
            <w:tcW w:type="dxa" w:w="69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tenant_id, actor_id, action, resource, metadata, created_at</w:t>
            </w:r>
          </w:p>
        </w:tc>
      </w:tr>
    </w:tbl>
    <w:p>
      <w:r>
        <w:rPr>
          <w:rFonts w:ascii="Arial" w:cs="Arial" w:eastAsia="Arial" w:hAnsi="Arial"/>
          <w:b/>
          <w:bCs/>
          <w:sz w:val="20"/>
          <w:szCs w:val="20"/>
        </w:rPr>
        <w:t xml:space="preserve">Aceptación. </w:t>
      </w:r>
      <w:r>
        <w:rPr>
          <w:rFonts w:ascii="Arial" w:cs="Arial" w:eastAsia="Arial" w:hAnsi="Arial"/>
          <w:sz w:val="20"/>
          <w:szCs w:val="20"/>
        </w:rPr>
        <w:t xml:space="preserve">Una persona autenticada crea o entra a su comercio; un operador no puede modificar cobros; y ningún endpoint acepta un tenant_id sin comprobar pertenencia en la sesión.</w:t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6. Fase 2 - Suscripción y Mercado Pago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Implementación. </w:t>
      </w:r>
      <w:r>
        <w:rPr>
          <w:rFonts w:ascii="Arial" w:cs="Arial" w:eastAsia="Arial" w:hAnsi="Arial"/>
          <w:sz w:val="20"/>
          <w:szCs w:val="20"/>
        </w:rPr>
        <w:t xml:space="preserve">Crear el plan recurrente, generar la suscripción, guardar la relación con el tenant y procesar webhooks idempotentes. Tras recibir un evento, el backend consulta el objeto en Mercado Pago antes de cambiar el estado local.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POST /api/billing/checkout crea o recupera una suscripción para el tenant autenticado.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POST /webhooks/mercadopago registra el evento, evita repeticiones y sincroniza estado real.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GET /api/billing/status expone plan, consumo, fecha de renovación y acciones disponibles.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Regla de activación. </w:t>
      </w:r>
      <w:r>
        <w:rPr>
          <w:rFonts w:ascii="Arial" w:cs="Arial" w:eastAsia="Arial" w:hAnsi="Arial"/>
          <w:sz w:val="20"/>
          <w:szCs w:val="20"/>
        </w:rPr>
        <w:t xml:space="preserve">La URL de retorno del pago solo informa al usuario. Únicamente el webhook verificado y la consulta al proveedor pueden marcar una suscripción como active.</w:t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7. Fase 3 - Google Drive y Google Sheets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Implementación. </w:t>
      </w:r>
      <w:r>
        <w:rPr>
          <w:rFonts w:ascii="Arial" w:cs="Arial" w:eastAsia="Arial" w:hAnsi="Arial"/>
          <w:sz w:val="20"/>
          <w:szCs w:val="20"/>
        </w:rPr>
        <w:t xml:space="preserve">Crear rutas de inicio y callback OAuth, usar state antifraude, autorización incremental y acceso offline. Cifrar refresh tokens, guardar fecha de vencimiento, scopes y estado de la conexión.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Login: openid, email y profile.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Operación: scopes mínimos necesarios para crear y actualizar los recursos Drive/Sheets del comercio.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Recuperación: si el usuario revoca permisos o expira el token, el panel presenta una reconexión guiada sin perder la configuración.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Referencia técnica. </w:t>
      </w:r>
      <w:r>
        <w:rPr>
          <w:rFonts w:ascii="Arial" w:cs="Arial" w:eastAsia="Arial" w:hAnsi="Arial"/>
          <w:sz w:val="20"/>
          <w:szCs w:val="20"/>
        </w:rPr>
        <w:t xml:space="preserve">El flujo OAuth de servidor requiere credenciales confidenciales, estado y redirecciones autorizadas; Google recomienda librerías de servidor y autorización incremental.</w:t>
      </w:r>
    </w:p>
    <w:p>
      <w:hyperlink w:history="1" r:id="rIdw96vjmlomyp5qlisokiv2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Guía oficial de OAuth 2.0 de Google</w:t>
        </w:r>
      </w:hyperlink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8. Fase 4 - Aprovisionamiento de recursos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Proceso idempotente por tenant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Crear o recuperar la carpeta raíz Ventas IA - nombre del comercio.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Crear o recuperar Catálogo, Clientes, Pedidos, Configuración y Auditoría.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Aplicar encabezados, formatos, validaciones y datos de ejemplo versionados.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Guardar IDs de Drive, spreadsheet y sheet en provisioned_resources.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Ejecutar lectura de catálogo, consulta de cliente y escritura de pedido de prueba.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Marcar provisioned solo al superar todas las validaciones.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Aceptación. </w:t>
      </w:r>
      <w:r>
        <w:rPr>
          <w:rFonts w:ascii="Arial" w:cs="Arial" w:eastAsia="Arial" w:hAnsi="Arial"/>
          <w:sz w:val="20"/>
          <w:szCs w:val="20"/>
        </w:rPr>
        <w:t xml:space="preserve">Ejecutar el proceso dos veces no crea dos carpetas ni dos archivos. Los nombres son informativos; los IDs de Google son la referencia real.</w:t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9. Fase 5 - WhatsApp, agente y experiencia de activación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Implementación. </w:t>
      </w:r>
      <w:r>
        <w:rPr>
          <w:rFonts w:ascii="Arial" w:cs="Arial" w:eastAsia="Arial" w:hAnsi="Arial"/>
          <w:sz w:val="20"/>
          <w:szCs w:val="20"/>
        </w:rPr>
        <w:t xml:space="preserve">Cada tenant registra de forma segura su phone_number_id, cuenta WhatsApp y referencias de credenciales. El webhook ubica al comercio exclusivamente por phone_number_id y rechaza mensajes no asociados.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 de onboarding</w:t>
            </w:r>
          </w:p>
        </w:tc>
        <w:tc>
          <w:tcPr>
            <w:tcW w:type="dxa" w:w="65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Validación automática</w:t>
            </w:r>
          </w:p>
        </w:tc>
      </w:tr>
      <w:tr>
        <w:tc>
          <w:tcPr>
            <w:tcW w:type="dxa" w:w="25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1. Cuenta y comercio</w:t>
            </w:r>
          </w:p>
        </w:tc>
        <w:tc>
          <w:tcPr>
            <w:tcW w:type="dxa" w:w="65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Usuario owner, tenant y datos básicos creados.</w:t>
            </w:r>
          </w:p>
        </w:tc>
      </w:tr>
      <w:tr>
        <w:tc>
          <w:tcPr>
            <w:tcW w:type="dxa" w:w="25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2. Suscripción</w:t>
            </w:r>
          </w:p>
        </w:tc>
        <w:tc>
          <w:tcPr>
            <w:tcW w:type="dxa" w:w="65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Estado active o trial vigente.</w:t>
            </w:r>
          </w:p>
        </w:tc>
      </w:tr>
      <w:tr>
        <w:tc>
          <w:tcPr>
            <w:tcW w:type="dxa" w:w="25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3. Google conectado</w:t>
            </w:r>
          </w:p>
        </w:tc>
        <w:tc>
          <w:tcPr>
            <w:tcW w:type="dxa" w:w="65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Token vigente y permisos requeridos concedidos.</w:t>
            </w:r>
          </w:p>
        </w:tc>
      </w:tr>
      <w:tr>
        <w:tc>
          <w:tcPr>
            <w:tcW w:type="dxa" w:w="25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4. Datos preparados</w:t>
            </w:r>
          </w:p>
        </w:tc>
        <w:tc>
          <w:tcPr>
            <w:tcW w:type="dxa" w:w="65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Carpeta, hojas y catálogo mínimo validados.</w:t>
            </w:r>
          </w:p>
        </w:tc>
      </w:tr>
      <w:tr>
        <w:tc>
          <w:tcPr>
            <w:tcW w:type="dxa" w:w="25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5. WhatsApp conectado</w:t>
            </w:r>
          </w:p>
        </w:tc>
        <w:tc>
          <w:tcPr>
            <w:tcW w:type="dxa" w:w="65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Webhook y mensaje de prueba exitosos.</w:t>
            </w:r>
          </w:p>
        </w:tc>
      </w:tr>
      <w:tr>
        <w:tc>
          <w:tcPr>
            <w:tcW w:type="dxa" w:w="25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6. Activación</w:t>
            </w:r>
          </w:p>
        </w:tc>
        <w:tc>
          <w:tcPr>
            <w:tcW w:type="dxa" w:w="65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Prueba del agente y cuota disponible.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10. Fase 6 - Uso, límites y operación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Medir cada interacción: tenant, conversación, modelo, tokens de entrada/salida, costo estimado, herramientas y resultado.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Aplicar límites antes de procesar un mensaje. Al superar una cuota, el agente pausa y el panel ofrece ampliar plan o esperar renovación.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Mantener empleos de fondo para reintentos de webhooks, renovación de tokens, revalidación de conexiones y alertas de consumo.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Registrar auditoría de ingresos, cambios de configuración, pagos, pedidos y acciones de herramientas.</w:t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11. Seguridad y riesgos a controlar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65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</w:tr>
      <w:tr>
        <w:tc>
          <w:tcPr>
            <w:tcW w:type="dxa" w:w="25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Cruce de datos entre clientes</w:t>
            </w:r>
          </w:p>
        </w:tc>
        <w:tc>
          <w:tcPr>
            <w:tcW w:type="dxa" w:w="65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tenant_id obligatorio, validado desde sesión y pruebas de aislamiento.</w:t>
            </w:r>
          </w:p>
        </w:tc>
      </w:tr>
      <w:tr>
        <w:tc>
          <w:tcPr>
            <w:tcW w:type="dxa" w:w="25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Pérdida o exposición de tokens</w:t>
            </w:r>
          </w:p>
        </w:tc>
        <w:tc>
          <w:tcPr>
            <w:tcW w:type="dxa" w:w="65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Cifrado, gestor de secretos, mínimo privilegio y rotación.</w:t>
            </w:r>
          </w:p>
        </w:tc>
      </w:tr>
      <w:tr>
        <w:tc>
          <w:tcPr>
            <w:tcW w:type="dxa" w:w="25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Webhook fraudulento o repetido</w:t>
            </w:r>
          </w:p>
        </w:tc>
        <w:tc>
          <w:tcPr>
            <w:tcW w:type="dxa" w:w="65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Verificación de firma, consulta al proveedor e idempotencia por evento.</w:t>
            </w:r>
          </w:p>
        </w:tc>
      </w:tr>
      <w:tr>
        <w:tc>
          <w:tcPr>
            <w:tcW w:type="dxa" w:w="25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Permiso Google revocado</w:t>
            </w:r>
          </w:p>
        </w:tc>
        <w:tc>
          <w:tcPr>
            <w:tcW w:type="dxa" w:w="65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Detección de error, estado needs_reauth y reparación guiada.</w:t>
            </w:r>
          </w:p>
        </w:tc>
      </w:tr>
      <w:tr>
        <w:tc>
          <w:tcPr>
            <w:tcW w:type="dxa" w:w="25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Costo LLM inesperado</w:t>
            </w:r>
          </w:p>
        </w:tc>
        <w:tc>
          <w:tcPr>
            <w:tcW w:type="dxa" w:w="65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Cuotas, presupuestos por tenant y alertas antes de excederlas.</w:t>
            </w:r>
          </w:p>
        </w:tc>
      </w:tr>
      <w:tr>
        <w:tc>
          <w:tcPr>
            <w:tcW w:type="dxa" w:w="25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Configuración incompleta</w:t>
            </w:r>
          </w:p>
        </w:tc>
        <w:tc>
          <w:tcPr>
            <w:tcW w:type="dxa" w:w="65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Agente bloqueado hasta que el checklist de activación pase.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12. Pruebas de aceptación de lanzamiento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Dos tenants activos no pueden leer, editar ni consultar recursos del otro.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Un webhook de Mercado Pago repetido no duplica pagos ni cambia un estado válido por error.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Una suscripción vencida impide que el agente use DeepSeek o responda por WhatsApp.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Un aprovisionamiento reintentado reutiliza los recursos existentes.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 revocación de Google no expone información y permite reconexión segura.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Los 40 escenarios colombianos del agente siguen pasando con recursos reales del tenant.</w:t>
      </w:r>
    </w:p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13. Cronograma sugerido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72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8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1-2</w:t>
            </w:r>
          </w:p>
        </w:tc>
        <w:tc>
          <w:tcPr>
            <w:tcW w:type="dxa" w:w="72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Modelo PostgreSQL, Google login, sesiones, roles y aislamiento.</w:t>
            </w:r>
          </w:p>
        </w:tc>
      </w:tr>
      <w:tr>
        <w:tc>
          <w:tcPr>
            <w:tcW w:type="dxa" w:w="18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3-4</w:t>
            </w:r>
          </w:p>
        </w:tc>
        <w:tc>
          <w:tcPr>
            <w:tcW w:type="dxa" w:w="72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Mercado Pago, suscripción, webhooks y bloqueo por estado.</w:t>
            </w:r>
          </w:p>
        </w:tc>
      </w:tr>
      <w:tr>
        <w:tc>
          <w:tcPr>
            <w:tcW w:type="dxa" w:w="18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5-6</w:t>
            </w:r>
          </w:p>
        </w:tc>
        <w:tc>
          <w:tcPr>
            <w:tcW w:type="dxa" w:w="72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OAuth Drive/Sheets, cifrado de tokens y provisión de recursos.</w:t>
            </w:r>
          </w:p>
        </w:tc>
      </w:tr>
      <w:tr>
        <w:tc>
          <w:tcPr>
            <w:tcW w:type="dxa" w:w="18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7-8</w:t>
            </w:r>
          </w:p>
        </w:tc>
        <w:tc>
          <w:tcPr>
            <w:tcW w:type="dxa" w:w="72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Onboarding guiado, conexión WhatsApp y validación integral.</w:t>
            </w:r>
          </w:p>
        </w:tc>
      </w:tr>
      <w:tr>
        <w:tc>
          <w:tcPr>
            <w:tcW w:type="dxa" w:w="18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9-10</w:t>
            </w:r>
          </w:p>
        </w:tc>
        <w:tc>
          <w:tcPr>
            <w:tcW w:type="dxa" w:w="72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Medición DeepSeek, cuotas, suspensión y pruebas end-to-end.</w:t>
            </w:r>
          </w:p>
        </w:tc>
      </w:tr>
      <w:tr>
        <w:tc>
          <w:tcPr>
            <w:tcW w:type="dxa" w:w="18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11-12</w:t>
            </w:r>
          </w:p>
        </w:tc>
        <w:tc>
          <w:tcPr>
            <w:tcW w:type="dxa" w:w="72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Observabilidad, recuperación, piloto controlado y ajustes.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sz w:val="20"/>
          <w:szCs w:val="20"/>
        </w:rPr>
        <w:t xml:space="preserve">14. Registro de decisiones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c>
          <w:tcPr>
            <w:tcW w:type="dxa" w:w="26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16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8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1D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6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16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Aprobada</w:t>
            </w:r>
          </w:p>
        </w:tc>
        <w:tc>
          <w:tcPr>
            <w:tcW w:type="dxa" w:w="48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Google como proveedor de identidad.</w:t>
            </w:r>
          </w:p>
        </w:tc>
      </w:tr>
      <w:tr>
        <w:tc>
          <w:tcPr>
            <w:tcW w:type="dxa" w:w="26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Datos operativos</w:t>
            </w:r>
          </w:p>
        </w:tc>
        <w:tc>
          <w:tcPr>
            <w:tcW w:type="dxa" w:w="16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Aprobada</w:t>
            </w:r>
          </w:p>
        </w:tc>
        <w:tc>
          <w:tcPr>
            <w:tcW w:type="dxa" w:w="48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Cada comercio usa su propio Google Drive y Sheets.</w:t>
            </w:r>
          </w:p>
        </w:tc>
      </w:tr>
      <w:tr>
        <w:tc>
          <w:tcPr>
            <w:tcW w:type="dxa" w:w="26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16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Aprobada</w:t>
            </w:r>
          </w:p>
        </w:tc>
        <w:tc>
          <w:tcPr>
            <w:tcW w:type="dxa" w:w="48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Suscripción mensual con Mercado Pago.</w:t>
            </w:r>
          </w:p>
        </w:tc>
      </w:tr>
      <w:tr>
        <w:tc>
          <w:tcPr>
            <w:tcW w:type="dxa" w:w="26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Canal de mensajería</w:t>
            </w:r>
          </w:p>
        </w:tc>
        <w:tc>
          <w:tcPr>
            <w:tcW w:type="dxa" w:w="16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Aprobada</w:t>
            </w:r>
          </w:p>
        </w:tc>
        <w:tc>
          <w:tcPr>
            <w:tcW w:type="dxa" w:w="48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WhatsApp Business, facturado por Meta al cliente.</w:t>
            </w:r>
          </w:p>
        </w:tc>
      </w:tr>
      <w:tr>
        <w:tc>
          <w:tcPr>
            <w:tcW w:type="dxa" w:w="26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LLM</w:t>
            </w:r>
          </w:p>
        </w:tc>
        <w:tc>
          <w:tcPr>
            <w:tcW w:type="dxa" w:w="16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Aprobada</w:t>
            </w:r>
          </w:p>
        </w:tc>
        <w:tc>
          <w:tcPr>
            <w:tcW w:type="dxa" w:w="48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DeepSeek como motor comercial inicial.</w:t>
            </w:r>
          </w:p>
        </w:tc>
      </w:tr>
      <w:tr>
        <w:tc>
          <w:tcPr>
            <w:tcW w:type="dxa" w:w="26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Base de producción</w:t>
            </w:r>
          </w:p>
        </w:tc>
        <w:tc>
          <w:tcPr>
            <w:tcW w:type="dxa" w:w="16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Pendiente</w:t>
            </w:r>
          </w:p>
        </w:tc>
        <w:tc>
          <w:tcPr>
            <w:tcW w:type="dxa" w:w="48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shd w:fill="F5F8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Elegir PostgreSQL administrado y gestor de secretos.</w:t>
            </w:r>
          </w:p>
        </w:tc>
      </w:tr>
      <w:tr>
        <w:tc>
          <w:tcPr>
            <w:tcW w:type="dxa" w:w="26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1600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Pendiente</w:t>
            </w:r>
          </w:p>
        </w:tc>
        <w:tc>
          <w:tcPr>
            <w:tcW w:type="dxa" w:w="4826"/>
            <w:tcBorders>
              <w:top w:val="single" w:color="D7DEE8" w:sz="1"/>
              <w:left w:val="single" w:color="D7DEE8" w:sz="1"/>
              <w:bottom w:val="single" w:color="D7DEE8" w:sz="1"/>
              <w:right w:val="single" w:color="D7DEE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548"/>
                <w:sz w:val="20"/>
                <w:szCs w:val="20"/>
              </w:rPr>
              <w:t xml:space="preserve">Elegir proveedor de despliegue y ambiente productivo.</w:t>
            </w:r>
          </w:p>
        </w:tc>
      </w:tr>
    </w:tbl>
    <w:p>
      <w:pPr>
        <w:spacing w:before="360"/>
      </w:pPr>
      <w:r>
        <w:rPr>
          <w:rFonts w:ascii="Arial" w:cs="Arial" w:eastAsia="Arial" w:hAnsi="Arial"/>
          <w:b/>
          <w:bCs/>
          <w:color w:val="1D3A5F"/>
          <w:sz w:val="20"/>
          <w:szCs w:val="20"/>
        </w:rPr>
        <w:t xml:space="preserve">Próximo hito recomendado: </w:t>
      </w:r>
      <w:r>
        <w:rPr>
          <w:rFonts w:ascii="Arial" w:cs="Arial" w:eastAsia="Arial" w:hAnsi="Arial"/>
          <w:sz w:val="20"/>
          <w:szCs w:val="20"/>
        </w:rPr>
        <w:t xml:space="preserve">implementar Fase 1: PostgreSQL, autenticación Google, sesiones y modelo de tenant/roles. Esta capa habilita de forma segura todas las fases posteriores.</w:t>
      </w:r>
    </w:p>
    <w:sectPr>
      <w:headerReference w:type="default" r:id="rId7"/>
      <w:footerReference w:type="default" r:id="rId8"/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B7B"/>
        <w:sz w:val="16"/>
        <w:szCs w:val="16"/>
      </w:rPr>
      <w:t xml:space="preserve">Confidencial | Página </w:t>
    </w:r>
    <w:r>
      <w:rPr>
        <w:rFonts w:ascii="Arial" w:cs="Arial" w:eastAsia="Arial" w:hAnsi="Arial"/>
        <w:color w:val="5D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F682C" w:sz="6" w:space="1"/>
      </w:pBdr>
    </w:pPr>
    <w:r>
      <w:rPr>
        <w:rFonts w:ascii="Arial" w:cs="Arial" w:eastAsia="Arial" w:hAnsi="Arial"/>
        <w:b/>
        <w:bCs/>
        <w:color w:val="1D3A5F"/>
        <w:sz w:val="18"/>
        <w:szCs w:val="18"/>
      </w:rPr>
      <w:t xml:space="preserve">Ventas IA | Plan de implementación SaaS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5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5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5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50"/>
      <w:outlineLvl w:val="0"/>
    </w:pPr>
    <w:rPr>
      <w:rFonts w:ascii="Arial" w:cs="Arial" w:eastAsia="Arial" w:hAnsi="Arial"/>
      <w:b/>
      <w:bCs/>
      <w:color w:val="1D3A5F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D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96vjmlomyp5qlisokiv2" Type="http://schemas.openxmlformats.org/officeDocument/2006/relationships/hyperlink" Target="https://developers.google.com/identity/protocols/oauth2/web-serve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2026-10-09T20:17:18.487Z</dcterms:created>
  <dcterms:modified xsi:type="dcterms:W3CDTF">2026-10-09T20:17:18.496Z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