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200"/>
              <w:left w:type="dxa" w:w="400"/>
              <w:bottom w:type="dxa" w:w="200"/>
              <w:right w:type="dxa" w:w="4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44"/>
                <w:szCs w:val="44"/>
              </w:rPr>
              <w:t xml:space="preserve">NGUYỄN MINH TUẤN</w:t>
            </w:r>
          </w:p>
          <w:p>
            <w:pPr>
              <w:spacing w:before="60"/>
              <w:jc w:val="center"/>
            </w:pPr>
            <w:r>
              <w:rPr>
                <w:rFonts w:ascii="Calibri" w:cs="Calibri" w:eastAsia="Calibri" w:hAnsi="Calibri"/>
                <w:color w:val="DDDDDD"/>
                <w:sz w:val="24"/>
                <w:szCs w:val="24"/>
              </w:rPr>
              <w:t xml:space="preserve">Sales Executive | B2B Tech Solutions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60" w:after="6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📞 0912 345 678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  ·  ✉ tuan.nguyen.sales@email.com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  ·  📍 Quận 1, TP. Hồ Chí Minh</w:t>
      </w:r>
      <w:r>
        <w:rPr>
          <w:rFonts w:ascii="Calibri" w:cs="Calibri" w:eastAsia="Calibri" w:hAnsi="Calibri"/>
          <w:color w:val="2E75B6"/>
          <w:sz w:val="20"/>
          <w:szCs w:val="20"/>
        </w:rPr>
        <w:t xml:space="preserve">  ·  LinkedIn: linkedin.com/in/tuannguyen-sales</w:t>
      </w:r>
    </w:p>
    <w:p>
      <w:pPr>
        <w:spacing w:before="1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"/>
        <w:gridCol w:w="9140"/>
      </w:tblGrid>
      <w:tr>
        <w:tc>
          <w:tcPr>
            <w:tcW w:type="dxa" w:w="2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t xml:space="preserve"/>
            </w:r>
          </w:p>
        </w:tc>
        <w:tc>
          <w:tcPr>
            <w:tcW w:type="dxa" w:w="9140"/>
            <w:tcBorders>
              <w:top w:val="none" w:color="FFFFFF" w:sz="0"/>
              <w:left w:val="none" w:color="FFFFFF" w:sz="0"/>
              <w:bottom w:val="single" w:color="DDDDDD" w:sz="4"/>
              <w:right w:val="none" w:color="FFFFFF" w:sz="0"/>
            </w:tcBorders>
            <w:shd w:fill="FFFFFF" w:val="clear"/>
            <w:tcMar>
              <w:top w:type="dxa" w:w="60"/>
              <w:left w:type="dxa" w:w="180"/>
              <w:bottom w:type="dxa" w:w="60"/>
              <w:right w:type="dxa" w:w="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pacing w:val="40"/>
                <w:sz w:val="22"/>
                <w:szCs w:val="22"/>
              </w:rPr>
              <w:t xml:space="preserve">MỤC TIÊU NGHỀ NGHIỆP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0" w:after="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Sales Executive với 5 năm kinh nghiệm B2B trong lĩnh vực SaaS và phần mềm doanh nghiệp. Đã xây dựng và duy trì danh mục khách hàng trị giá hơn 8 tỷ VND/năm. Tìm kiếm cơ hội phát triển tại TechCorp để mở rộng thị trường phía Nam.</w:t>
      </w:r>
    </w:p>
    <w:p>
      <w:pPr>
        <w:spacing w:before="1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"/>
        <w:gridCol w:w="9140"/>
      </w:tblGrid>
      <w:tr>
        <w:tc>
          <w:tcPr>
            <w:tcW w:type="dxa" w:w="2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t xml:space="preserve"/>
            </w:r>
          </w:p>
        </w:tc>
        <w:tc>
          <w:tcPr>
            <w:tcW w:type="dxa" w:w="9140"/>
            <w:tcBorders>
              <w:top w:val="none" w:color="FFFFFF" w:sz="0"/>
              <w:left w:val="none" w:color="FFFFFF" w:sz="0"/>
              <w:bottom w:val="single" w:color="DDDDDD" w:sz="4"/>
              <w:right w:val="none" w:color="FFFFFF" w:sz="0"/>
            </w:tcBorders>
            <w:shd w:fill="FFFFFF" w:val="clear"/>
            <w:tcMar>
              <w:top w:type="dxa" w:w="60"/>
              <w:left w:type="dxa" w:w="180"/>
              <w:bottom w:type="dxa" w:w="60"/>
              <w:right w:type="dxa" w:w="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pacing w:val="40"/>
                <w:sz w:val="22"/>
                <w:szCs w:val="22"/>
              </w:rPr>
              <w:t xml:space="preserve">KINH NGHIỆM LÀM VIỆC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80" w:after="2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Senior Sales Executive </w:t>
      </w:r>
      <w:r>
        <w:rPr>
          <w:rFonts w:ascii="Calibri" w:cs="Calibri" w:eastAsia="Calibri" w:hAnsi="Calibri"/>
          <w:i/>
          <w:iCs/>
          <w:color w:val="666666"/>
          <w:sz w:val="21"/>
          <w:szCs w:val="21"/>
        </w:rPr>
        <w:t xml:space="preserve">· FPT Software – Hồ Chí Minh</w:t>
      </w:r>
    </w:p>
    <w:p>
      <w:pPr>
        <w:spacing w:before="0" w:after="40"/>
      </w:pPr>
      <w:r>
        <w:rPr>
          <w:rFonts w:ascii="Calibri" w:cs="Calibri" w:eastAsia="Calibri" w:hAnsi="Calibri"/>
          <w:i/>
          <w:iCs/>
          <w:color w:val="888888"/>
          <w:sz w:val="20"/>
          <w:szCs w:val="20"/>
        </w:rPr>
        <w:t xml:space="preserve">01/2021 – Nay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Quản lý 45 tài khoản doanh nghiệp vừa và lớn, doanh thu đạt 8,2 tỷ VND trong năm 2023 (vượt KPI 136%)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Phát triển 12 khách hàng mới trong lĩnh vực sản xuất và logistics, tỷ lệ chốt deal 38%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Phối hợp với team Pre-sales và Technical để tư vấn giải pháp ERP/CRM tổng thể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Đạt giải "Top Sales Q3/2022" và "Best Revenue Growth 2023" toàn công ty</w:t>
      </w:r>
    </w:p>
    <w:p>
      <w:pPr>
        <w:spacing w:before="80" w:after="2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Sales Executive </w:t>
      </w:r>
      <w:r>
        <w:rPr>
          <w:rFonts w:ascii="Calibri" w:cs="Calibri" w:eastAsia="Calibri" w:hAnsi="Calibri"/>
          <w:i/>
          <w:iCs/>
          <w:color w:val="666666"/>
          <w:sz w:val="21"/>
          <w:szCs w:val="21"/>
        </w:rPr>
        <w:t xml:space="preserve">· Haravan – Hồ Chí Minh</w:t>
      </w:r>
    </w:p>
    <w:p>
      <w:pPr>
        <w:spacing w:before="0" w:after="40"/>
      </w:pPr>
      <w:r>
        <w:rPr>
          <w:rFonts w:ascii="Calibri" w:cs="Calibri" w:eastAsia="Calibri" w:hAnsi="Calibri"/>
          <w:i/>
          <w:iCs/>
          <w:color w:val="888888"/>
          <w:sz w:val="20"/>
          <w:szCs w:val="20"/>
        </w:rPr>
        <w:t xml:space="preserve">06/2019 – 12/2020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Tư vấn và bán giải pháp thương mại điện tử cho 80+ doanh nghiệp SME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Doanh thu cá nhân đạt 3,4 tỷ VND/năm, top 5 toàn quốc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Xây dựng quy trình follow-up khách hàng giúp tăng renewal rate từ 62% lên 78%</w:t>
      </w:r>
    </w:p>
    <w:p>
      <w:pPr>
        <w:spacing w:before="1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"/>
        <w:gridCol w:w="9140"/>
      </w:tblGrid>
      <w:tr>
        <w:tc>
          <w:tcPr>
            <w:tcW w:type="dxa" w:w="2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t xml:space="preserve"/>
            </w:r>
          </w:p>
        </w:tc>
        <w:tc>
          <w:tcPr>
            <w:tcW w:type="dxa" w:w="9140"/>
            <w:tcBorders>
              <w:top w:val="none" w:color="FFFFFF" w:sz="0"/>
              <w:left w:val="none" w:color="FFFFFF" w:sz="0"/>
              <w:bottom w:val="single" w:color="DDDDDD" w:sz="4"/>
              <w:right w:val="none" w:color="FFFFFF" w:sz="0"/>
            </w:tcBorders>
            <w:shd w:fill="FFFFFF" w:val="clear"/>
            <w:tcMar>
              <w:top w:type="dxa" w:w="60"/>
              <w:left w:type="dxa" w:w="180"/>
              <w:bottom w:type="dxa" w:w="60"/>
              <w:right w:type="dxa" w:w="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pacing w:val="40"/>
                <w:sz w:val="22"/>
                <w:szCs w:val="22"/>
              </w:rPr>
              <w:t xml:space="preserve">HỌC VẤN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80" w:after="2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Đại học Kinh tế TP. Hồ Chí Minh (UEH)</w:t>
      </w:r>
    </w:p>
    <w:p>
      <w:pPr>
        <w:spacing w:before="0" w:after="4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Cử nhân Quản trị Kinh doanh – Chuyên ngành Marketing</w:t>
      </w:r>
      <w:r>
        <w:rPr>
          <w:rFonts w:ascii="Calibri" w:cs="Calibri" w:eastAsia="Calibri" w:hAnsi="Calibri"/>
          <w:color w:val="666666"/>
          <w:sz w:val="21"/>
          <w:szCs w:val="21"/>
        </w:rPr>
        <w:t xml:space="preserve">  ·  GPA: 3.4/4.0</w:t>
      </w:r>
      <w:r>
        <w:rPr>
          <w:rFonts w:ascii="Calibri" w:cs="Calibri" w:eastAsia="Calibri" w:hAnsi="Calibri"/>
          <w:i/>
          <w:iCs/>
          <w:color w:val="888888"/>
          <w:sz w:val="20"/>
          <w:szCs w:val="20"/>
        </w:rPr>
        <w:t xml:space="preserve">  ·  2015–2019</w:t>
      </w:r>
    </w:p>
    <w:p>
      <w:pPr>
        <w:spacing w:before="1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"/>
        <w:gridCol w:w="9140"/>
      </w:tblGrid>
      <w:tr>
        <w:tc>
          <w:tcPr>
            <w:tcW w:type="dxa" w:w="2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t xml:space="preserve"/>
            </w:r>
          </w:p>
        </w:tc>
        <w:tc>
          <w:tcPr>
            <w:tcW w:type="dxa" w:w="9140"/>
            <w:tcBorders>
              <w:top w:val="none" w:color="FFFFFF" w:sz="0"/>
              <w:left w:val="none" w:color="FFFFFF" w:sz="0"/>
              <w:bottom w:val="single" w:color="DDDDDD" w:sz="4"/>
              <w:right w:val="none" w:color="FFFFFF" w:sz="0"/>
            </w:tcBorders>
            <w:shd w:fill="FFFFFF" w:val="clear"/>
            <w:tcMar>
              <w:top w:type="dxa" w:w="60"/>
              <w:left w:type="dxa" w:w="180"/>
              <w:bottom w:type="dxa" w:w="60"/>
              <w:right w:type="dxa" w:w="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pacing w:val="40"/>
                <w:sz w:val="22"/>
                <w:szCs w:val="22"/>
              </w:rPr>
              <w:t xml:space="preserve">KỸ NĂNG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080"/>
        <w:gridCol w:w="2600"/>
        <w:gridCol w:w="2080"/>
      </w:tblGrid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color w:val="333333"/>
                <w:sz w:val="21"/>
                <w:szCs w:val="21"/>
              </w:rPr>
              <w:t xml:space="preserve">B2B Sales / Negotiation</w:t>
            </w:r>
          </w:p>
        </w:tc>
        <w:tc>
          <w:tcPr>
            <w:tcW w:type="dxa" w:w="2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200"/>
            </w:tcMar>
          </w:tcPr>
          <w:p>
            <w:r>
              <w:rPr>
                <w:rFonts w:ascii="Calibri" w:cs="Calibri" w:eastAsia="Calibri" w:hAnsi="Calibri"/>
                <w:color w:val="1F3864"/>
                <w:sz w:val="18"/>
                <w:szCs w:val="18"/>
              </w:rPr>
              <w:t xml:space="preserve">●●●●●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color w:val="333333"/>
                <w:sz w:val="21"/>
                <w:szCs w:val="21"/>
              </w:rPr>
              <w:t xml:space="preserve">CRM (Salesforce, HubSpot)</w:t>
            </w:r>
          </w:p>
        </w:tc>
        <w:tc>
          <w:tcPr>
            <w:tcW w:type="dxa" w:w="2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200"/>
            </w:tcMar>
          </w:tcPr>
          <w:p>
            <w:r>
              <w:rPr>
                <w:rFonts w:ascii="Calibri" w:cs="Calibri" w:eastAsia="Calibri" w:hAnsi="Calibri"/>
                <w:color w:val="1F3864"/>
                <w:sz w:val="18"/>
                <w:szCs w:val="18"/>
              </w:rPr>
              <w:t xml:space="preserve">●●●●○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color w:val="333333"/>
                <w:sz w:val="21"/>
                <w:szCs w:val="21"/>
              </w:rPr>
              <w:t xml:space="preserve">Tiếng Anh (IELTS 7.0)</w:t>
            </w:r>
          </w:p>
        </w:tc>
        <w:tc>
          <w:tcPr>
            <w:tcW w:type="dxa" w:w="2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200"/>
            </w:tcMar>
          </w:tcPr>
          <w:p>
            <w:r>
              <w:rPr>
                <w:rFonts w:ascii="Calibri" w:cs="Calibri" w:eastAsia="Calibri" w:hAnsi="Calibri"/>
                <w:color w:val="1F3864"/>
                <w:sz w:val="18"/>
                <w:szCs w:val="18"/>
              </w:rPr>
              <w:t xml:space="preserve">●●●●○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color w:val="333333"/>
                <w:sz w:val="21"/>
                <w:szCs w:val="21"/>
              </w:rPr>
              <w:t xml:space="preserve">Thuyết trình &amp; Demo sản phẩm</w:t>
            </w:r>
          </w:p>
        </w:tc>
        <w:tc>
          <w:tcPr>
            <w:tcW w:type="dxa" w:w="2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200"/>
            </w:tcMar>
          </w:tcPr>
          <w:p>
            <w:r>
              <w:rPr>
                <w:rFonts w:ascii="Calibri" w:cs="Calibri" w:eastAsia="Calibri" w:hAnsi="Calibri"/>
                <w:color w:val="1F3864"/>
                <w:sz w:val="18"/>
                <w:szCs w:val="18"/>
              </w:rPr>
              <w:t xml:space="preserve">●●●●●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color w:val="333333"/>
                <w:sz w:val="21"/>
                <w:szCs w:val="21"/>
              </w:rPr>
              <w:t xml:space="preserve">Excel / Power BI</w:t>
            </w:r>
          </w:p>
        </w:tc>
        <w:tc>
          <w:tcPr>
            <w:tcW w:type="dxa" w:w="2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200"/>
            </w:tcMar>
          </w:tcPr>
          <w:p>
            <w:r>
              <w:rPr>
                <w:rFonts w:ascii="Calibri" w:cs="Calibri" w:eastAsia="Calibri" w:hAnsi="Calibri"/>
                <w:color w:val="2E75B6"/>
                <w:sz w:val="18"/>
                <w:szCs w:val="18"/>
              </w:rPr>
              <w:t xml:space="preserve">●●●○○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color w:val="333333"/>
                <w:sz w:val="21"/>
                <w:szCs w:val="21"/>
              </w:rPr>
              <w:t xml:space="preserve">LinkedIn Sales Navigator</w:t>
            </w:r>
          </w:p>
        </w:tc>
        <w:tc>
          <w:tcPr>
            <w:tcW w:type="dxa" w:w="2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200"/>
            </w:tcMar>
          </w:tcPr>
          <w:p>
            <w:r>
              <w:rPr>
                <w:rFonts w:ascii="Calibri" w:cs="Calibri" w:eastAsia="Calibri" w:hAnsi="Calibri"/>
                <w:color w:val="1F3864"/>
                <w:sz w:val="18"/>
                <w:szCs w:val="18"/>
              </w:rPr>
              <w:t xml:space="preserve">●●●●○</w:t>
            </w:r>
          </w:p>
        </w:tc>
      </w:tr>
    </w:tbl>
    <w:p>
      <w:pPr>
        <w:spacing w:before="1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"/>
        <w:gridCol w:w="9140"/>
      </w:tblGrid>
      <w:tr>
        <w:tc>
          <w:tcPr>
            <w:tcW w:type="dxa" w:w="2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t xml:space="preserve"/>
            </w:r>
          </w:p>
        </w:tc>
        <w:tc>
          <w:tcPr>
            <w:tcW w:type="dxa" w:w="9140"/>
            <w:tcBorders>
              <w:top w:val="none" w:color="FFFFFF" w:sz="0"/>
              <w:left w:val="none" w:color="FFFFFF" w:sz="0"/>
              <w:bottom w:val="single" w:color="DDDDDD" w:sz="4"/>
              <w:right w:val="none" w:color="FFFFFF" w:sz="0"/>
            </w:tcBorders>
            <w:shd w:fill="FFFFFF" w:val="clear"/>
            <w:tcMar>
              <w:top w:type="dxa" w:w="60"/>
              <w:left w:type="dxa" w:w="180"/>
              <w:bottom w:type="dxa" w:w="60"/>
              <w:right w:type="dxa" w:w="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pacing w:val="40"/>
                <w:sz w:val="22"/>
                <w:szCs w:val="22"/>
              </w:rPr>
              <w:t xml:space="preserve">CHỨNG CHỈ &amp; THÀNH TÍCH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Salesforce Certified Sales Representative (2022)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HubSpot Sales Software Certification (2021)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Giải Nhì cuộc thi "Young Sales Talent" do VietnamWorks tổ chức (2020)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2026-03-14T13:04:26.910Z</dcterms:created>
  <dcterms:modified xsi:type="dcterms:W3CDTF">2026-03-14T13:04:26.912Z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