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4DFC7" w14:textId="3651D7DC" w:rsidR="00BE4CE8" w:rsidRPr="00102F63" w:rsidRDefault="00BE4CE8" w:rsidP="008B1FAE">
      <w:pPr>
        <w:rPr>
          <w:rFonts w:ascii="宋体" w:eastAsia="宋体" w:hAnsi="宋体"/>
          <w:sz w:val="24"/>
        </w:rPr>
      </w:pPr>
      <w:r w:rsidRPr="00102F63">
        <w:rPr>
          <w:rFonts w:ascii="宋体" w:eastAsia="宋体" w:hAnsi="宋体" w:hint="eastAsia"/>
          <w:sz w:val="24"/>
        </w:rPr>
        <w:t>方法：</w:t>
      </w:r>
    </w:p>
    <w:p w14:paraId="4A6AC924" w14:textId="5C5BCBA0" w:rsidR="001D43B0" w:rsidRDefault="00B6216C" w:rsidP="008B1FAE">
      <w:pPr>
        <w:rPr>
          <w:rFonts w:ascii="宋体" w:eastAsia="宋体" w:hAnsi="宋体"/>
          <w:sz w:val="24"/>
        </w:rPr>
      </w:pPr>
      <w:r w:rsidRPr="00102F63">
        <w:rPr>
          <w:rFonts w:ascii="宋体" w:eastAsia="宋体" w:hAnsi="宋体" w:hint="eastAsia"/>
          <w:sz w:val="24"/>
        </w:rPr>
        <w:t>将54条已知血清型的HMTp210和345条未知血清型的HMTp210氨基酸序列用mafft进行序列比对，再用Trimal对比对结果切割对齐。</w:t>
      </w:r>
      <w:r w:rsidR="004F2B50" w:rsidRPr="00102F63">
        <w:rPr>
          <w:rFonts w:ascii="宋体" w:eastAsia="宋体" w:hAnsi="宋体" w:hint="eastAsia"/>
          <w:sz w:val="24"/>
        </w:rPr>
        <w:t>之后去掉所得序列中</w:t>
      </w:r>
      <w:r w:rsidR="004F2B50" w:rsidRPr="00102F63">
        <w:rPr>
          <w:rFonts w:ascii="宋体" w:eastAsia="宋体" w:hAnsi="宋体" w:hint="eastAsia"/>
          <w:sz w:val="24"/>
        </w:rPr>
        <w:t>去掉大于全长15%的gap</w:t>
      </w:r>
      <w:r w:rsidR="004F2B50" w:rsidRPr="00102F63">
        <w:rPr>
          <w:rFonts w:ascii="宋体" w:eastAsia="宋体" w:hAnsi="宋体" w:hint="eastAsia"/>
          <w:sz w:val="24"/>
        </w:rPr>
        <w:t>，得到了399条拥有267个氨基酸的HMTp210序列。</w:t>
      </w:r>
      <w:r w:rsidR="00B75D5A" w:rsidRPr="00102F63">
        <w:rPr>
          <w:rFonts w:ascii="宋体" w:eastAsia="宋体" w:hAnsi="宋体" w:hint="eastAsia"/>
          <w:sz w:val="24"/>
        </w:rPr>
        <w:t>将已知血清型的54条HMTp210序列以比例7：3随机分为37条和17条，</w:t>
      </w:r>
      <w:r w:rsidR="00335039" w:rsidRPr="00102F63">
        <w:rPr>
          <w:rFonts w:ascii="宋体" w:eastAsia="宋体" w:hAnsi="宋体" w:hint="eastAsia"/>
          <w:sz w:val="24"/>
        </w:rPr>
        <w:t>分别</w:t>
      </w:r>
      <w:r w:rsidR="00B75D5A" w:rsidRPr="00102F63">
        <w:rPr>
          <w:rFonts w:ascii="宋体" w:eastAsia="宋体" w:hAnsi="宋体" w:hint="eastAsia"/>
          <w:sz w:val="24"/>
        </w:rPr>
        <w:t>作为训练数据集和测试数据集</w:t>
      </w:r>
      <w:r w:rsidR="00245230" w:rsidRPr="00102F63">
        <w:rPr>
          <w:rFonts w:ascii="宋体" w:eastAsia="宋体" w:hAnsi="宋体" w:hint="eastAsia"/>
          <w:sz w:val="24"/>
        </w:rPr>
        <w:t>。</w:t>
      </w:r>
      <w:r w:rsidR="00B75D5A" w:rsidRPr="00102F63">
        <w:rPr>
          <w:rFonts w:ascii="宋体" w:eastAsia="宋体" w:hAnsi="宋体" w:hint="eastAsia"/>
          <w:sz w:val="24"/>
        </w:rPr>
        <w:t>以37条HMTp210氨基酸序列的</w:t>
      </w:r>
      <w:r w:rsidRPr="00102F63">
        <w:rPr>
          <w:rFonts w:ascii="宋体" w:eastAsia="宋体" w:hAnsi="宋体" w:hint="eastAsia"/>
          <w:sz w:val="24"/>
        </w:rPr>
        <w:t>每个氨基酸的</w:t>
      </w:r>
      <w:r w:rsidR="00B75D5A" w:rsidRPr="00102F63">
        <w:rPr>
          <w:rFonts w:ascii="宋体" w:eastAsia="宋体" w:hAnsi="宋体" w:hint="eastAsia"/>
          <w:sz w:val="24"/>
        </w:rPr>
        <w:t>疏水性作为特征集</w:t>
      </w:r>
      <w:r w:rsidRPr="00102F63">
        <w:rPr>
          <w:rFonts w:ascii="宋体" w:eastAsia="宋体" w:hAnsi="宋体" w:hint="eastAsia"/>
          <w:sz w:val="24"/>
        </w:rPr>
        <w:t>，</w:t>
      </w:r>
      <w:r w:rsidR="00245230" w:rsidRPr="00102F63">
        <w:rPr>
          <w:rFonts w:ascii="宋体" w:eastAsia="宋体" w:hAnsi="宋体" w:hint="eastAsia"/>
          <w:sz w:val="24"/>
        </w:rPr>
        <w:t>一共267个特征</w:t>
      </w:r>
      <w:r w:rsidR="00CD06E5" w:rsidRPr="00102F63">
        <w:rPr>
          <w:rFonts w:ascii="宋体" w:eastAsia="宋体" w:hAnsi="宋体" w:hint="eastAsia"/>
          <w:sz w:val="24"/>
        </w:rPr>
        <w:t>，</w:t>
      </w:r>
      <w:r w:rsidR="00B75D5A" w:rsidRPr="00102F63">
        <w:rPr>
          <w:rFonts w:ascii="宋体" w:eastAsia="宋体" w:hAnsi="宋体" w:hint="eastAsia"/>
          <w:sz w:val="24"/>
        </w:rPr>
        <w:t>训练机器训练模型</w:t>
      </w:r>
      <w:r w:rsidR="00B75D5A" w:rsidRPr="00102F63">
        <w:rPr>
          <w:rFonts w:ascii="宋体" w:eastAsia="宋体" w:hAnsi="宋体"/>
          <w:sz w:val="24"/>
        </w:rPr>
        <w:t>。</w:t>
      </w:r>
      <w:r w:rsidR="00B75D5A" w:rsidRPr="00102F63">
        <w:rPr>
          <w:rFonts w:ascii="宋体" w:eastAsia="宋体" w:hAnsi="宋体" w:hint="eastAsia"/>
          <w:sz w:val="24"/>
        </w:rPr>
        <w:t>首先使用python包“sklearn”训练</w:t>
      </w:r>
      <w:r w:rsidR="00B75D5A" w:rsidRPr="00102F63">
        <w:rPr>
          <w:rFonts w:ascii="宋体" w:eastAsia="宋体" w:hAnsi="宋体" w:hint="eastAsia"/>
          <w:sz w:val="24"/>
        </w:rPr>
        <w:t>Support Vector Machine</w:t>
      </w:r>
      <w:r w:rsidR="00B75D5A" w:rsidRPr="00102F63">
        <w:rPr>
          <w:rFonts w:ascii="宋体" w:eastAsia="宋体" w:hAnsi="宋体" w:hint="eastAsia"/>
          <w:sz w:val="24"/>
        </w:rPr>
        <w:t>模型，</w:t>
      </w:r>
      <w:r w:rsidR="00B75D5A" w:rsidRPr="00102F63">
        <w:rPr>
          <w:rFonts w:ascii="宋体" w:eastAsia="宋体" w:hAnsi="宋体"/>
          <w:sz w:val="24"/>
        </w:rPr>
        <w:t>该模型使用以下参数进行训练：kernel='linear',C=200,probability=True</w:t>
      </w:r>
      <w:r w:rsidR="00B75D5A" w:rsidRPr="00102F63">
        <w:rPr>
          <w:rFonts w:ascii="宋体" w:eastAsia="宋体" w:hAnsi="宋体" w:hint="eastAsia"/>
          <w:sz w:val="24"/>
        </w:rPr>
        <w:t>。除此之外还在默认设置下训练了</w:t>
      </w:r>
      <w:r w:rsidR="00B75D5A" w:rsidRPr="00102F63">
        <w:rPr>
          <w:rFonts w:ascii="宋体" w:eastAsia="宋体" w:hAnsi="宋体" w:hint="eastAsia"/>
          <w:sz w:val="24"/>
        </w:rPr>
        <w:t>Random Forest</w:t>
      </w:r>
      <w:r w:rsidR="00B75D5A" w:rsidRPr="00102F63">
        <w:rPr>
          <w:rFonts w:ascii="宋体" w:eastAsia="宋体" w:hAnsi="宋体" w:hint="eastAsia"/>
          <w:sz w:val="24"/>
        </w:rPr>
        <w:t>，</w:t>
      </w:r>
      <w:r w:rsidR="00B75D5A" w:rsidRPr="00102F63">
        <w:rPr>
          <w:rFonts w:ascii="宋体" w:eastAsia="宋体" w:hAnsi="宋体" w:hint="eastAsia"/>
          <w:sz w:val="24"/>
        </w:rPr>
        <w:t xml:space="preserve">Gradient Boosted Regression Tree </w:t>
      </w:r>
      <w:r w:rsidR="00B75D5A" w:rsidRPr="00102F63">
        <w:rPr>
          <w:rFonts w:ascii="宋体" w:eastAsia="宋体" w:hAnsi="宋体" w:hint="eastAsia"/>
          <w:sz w:val="24"/>
        </w:rPr>
        <w:t>，</w:t>
      </w:r>
      <w:r w:rsidR="00B75D5A" w:rsidRPr="00102F63">
        <w:rPr>
          <w:rFonts w:ascii="宋体" w:eastAsia="宋体" w:hAnsi="宋体" w:hint="eastAsia"/>
          <w:sz w:val="24"/>
        </w:rPr>
        <w:t>Naïve Bayes</w:t>
      </w:r>
      <w:r w:rsidR="00B75D5A" w:rsidRPr="00102F63">
        <w:rPr>
          <w:rFonts w:ascii="宋体" w:eastAsia="宋体" w:hAnsi="宋体" w:hint="eastAsia"/>
          <w:sz w:val="24"/>
        </w:rPr>
        <w:t>，</w:t>
      </w:r>
      <w:r w:rsidR="00B75D5A" w:rsidRPr="00102F63">
        <w:rPr>
          <w:rFonts w:ascii="宋体" w:eastAsia="宋体" w:hAnsi="宋体" w:hint="eastAsia"/>
          <w:sz w:val="24"/>
        </w:rPr>
        <w:t>Logistic Regression</w:t>
      </w:r>
      <w:r w:rsidR="00B75D5A" w:rsidRPr="00102F63">
        <w:rPr>
          <w:rFonts w:ascii="宋体" w:eastAsia="宋体" w:hAnsi="宋体" w:hint="eastAsia"/>
          <w:sz w:val="24"/>
        </w:rPr>
        <w:t>，</w:t>
      </w:r>
      <w:r w:rsidR="00B75D5A" w:rsidRPr="00102F63">
        <w:rPr>
          <w:rFonts w:ascii="宋体" w:eastAsia="宋体" w:hAnsi="宋体" w:hint="eastAsia"/>
          <w:sz w:val="24"/>
        </w:rPr>
        <w:t>Multilayer Perceptron</w:t>
      </w:r>
      <w:r w:rsidR="00B75D5A" w:rsidRPr="00102F63">
        <w:rPr>
          <w:rFonts w:ascii="宋体" w:eastAsia="宋体" w:hAnsi="宋体" w:hint="eastAsia"/>
          <w:sz w:val="24"/>
        </w:rPr>
        <w:t>，</w:t>
      </w:r>
      <w:r w:rsidR="00B75D5A" w:rsidRPr="00102F63">
        <w:rPr>
          <w:rFonts w:ascii="宋体" w:eastAsia="宋体" w:hAnsi="宋体" w:hint="eastAsia"/>
          <w:sz w:val="24"/>
        </w:rPr>
        <w:t>Decision Tree</w:t>
      </w:r>
      <w:r w:rsidR="00B75D5A" w:rsidRPr="00102F63">
        <w:rPr>
          <w:rFonts w:ascii="宋体" w:eastAsia="宋体" w:hAnsi="宋体" w:hint="eastAsia"/>
          <w:sz w:val="24"/>
        </w:rPr>
        <w:t>模型</w:t>
      </w:r>
      <w:r w:rsidRPr="00102F63">
        <w:rPr>
          <w:rFonts w:ascii="宋体" w:eastAsia="宋体" w:hAnsi="宋体" w:hint="eastAsia"/>
          <w:sz w:val="24"/>
        </w:rPr>
        <w:t>。</w:t>
      </w:r>
      <w:r w:rsidRPr="00102F63">
        <w:rPr>
          <w:rFonts w:ascii="宋体" w:eastAsia="宋体" w:hAnsi="宋体"/>
          <w:sz w:val="24"/>
        </w:rPr>
        <w:t>用 2</w:t>
      </w:r>
      <w:r w:rsidR="00BC3C25" w:rsidRPr="00102F63">
        <w:rPr>
          <w:rFonts w:ascii="宋体" w:eastAsia="宋体" w:hAnsi="宋体" w:hint="eastAsia"/>
          <w:sz w:val="24"/>
        </w:rPr>
        <w:t>67</w:t>
      </w:r>
      <w:r w:rsidRPr="00102F63">
        <w:rPr>
          <w:rFonts w:ascii="宋体" w:eastAsia="宋体" w:hAnsi="宋体"/>
          <w:sz w:val="24"/>
        </w:rPr>
        <w:t>个特征训练的</w:t>
      </w:r>
      <w:r w:rsidR="00BC3C25" w:rsidRPr="00102F63">
        <w:rPr>
          <w:rFonts w:ascii="宋体" w:eastAsia="宋体" w:hAnsi="宋体" w:hint="eastAsia"/>
          <w:sz w:val="24"/>
        </w:rPr>
        <w:t>支持向量机</w:t>
      </w:r>
      <w:r w:rsidRPr="00102F63">
        <w:rPr>
          <w:rFonts w:ascii="宋体" w:eastAsia="宋体" w:hAnsi="宋体"/>
          <w:sz w:val="24"/>
        </w:rPr>
        <w:t xml:space="preserve">模型具有最高的准确性和整体性能，因此被选为预测 </w:t>
      </w:r>
      <w:r w:rsidR="00BC3C25" w:rsidRPr="00102F63">
        <w:rPr>
          <w:rFonts w:ascii="宋体" w:eastAsia="宋体" w:hAnsi="宋体" w:hint="eastAsia"/>
          <w:sz w:val="24"/>
        </w:rPr>
        <w:t>HMTp210血清型</w:t>
      </w:r>
      <w:r w:rsidRPr="00102F63">
        <w:rPr>
          <w:rFonts w:ascii="宋体" w:eastAsia="宋体" w:hAnsi="宋体"/>
          <w:sz w:val="24"/>
        </w:rPr>
        <w:t>的首选模型。</w:t>
      </w:r>
      <w:r w:rsidR="00F53114" w:rsidRPr="00102F63">
        <w:rPr>
          <w:rFonts w:ascii="宋体" w:eastAsia="宋体" w:hAnsi="宋体"/>
          <w:sz w:val="24"/>
        </w:rPr>
        <w:t>根据</w:t>
      </w:r>
      <w:r w:rsidR="000C2036" w:rsidRPr="00102F63">
        <w:rPr>
          <w:rFonts w:ascii="宋体" w:eastAsia="宋体" w:hAnsi="宋体" w:hint="eastAsia"/>
          <w:sz w:val="24"/>
        </w:rPr>
        <w:t>3中</w:t>
      </w:r>
      <w:r w:rsidR="009643E9" w:rsidRPr="00102F63">
        <w:rPr>
          <w:rFonts w:ascii="宋体" w:eastAsia="宋体" w:hAnsi="宋体" w:hint="eastAsia"/>
          <w:sz w:val="24"/>
        </w:rPr>
        <w:t>预测血清型</w:t>
      </w:r>
      <w:r w:rsidR="00F53114" w:rsidRPr="00102F63">
        <w:rPr>
          <w:rFonts w:ascii="宋体" w:eastAsia="宋体" w:hAnsi="宋体"/>
          <w:sz w:val="24"/>
        </w:rPr>
        <w:t>的概率为每个预测分配置信度分数。具有最高概率的类表示预测的</w:t>
      </w:r>
      <w:r w:rsidR="00D97BD0" w:rsidRPr="00102F63">
        <w:rPr>
          <w:rFonts w:ascii="宋体" w:eastAsia="宋体" w:hAnsi="宋体" w:hint="eastAsia"/>
          <w:sz w:val="24"/>
        </w:rPr>
        <w:t>血清型</w:t>
      </w:r>
      <w:r w:rsidR="00F53114" w:rsidRPr="00102F63">
        <w:rPr>
          <w:rFonts w:ascii="宋体" w:eastAsia="宋体" w:hAnsi="宋体"/>
          <w:sz w:val="24"/>
        </w:rPr>
        <w:t>。因此，第一个和第二个预测类之间的概率差异越大，预测就越可靠。为了解释这种分数差异，</w:t>
      </w:r>
      <w:r w:rsidR="009E5B19" w:rsidRPr="00102F63">
        <w:rPr>
          <w:rFonts w:ascii="宋体" w:eastAsia="宋体" w:hAnsi="宋体" w:hint="eastAsia"/>
          <w:sz w:val="24"/>
        </w:rPr>
        <w:t>以下面方案划分三个置信度水平：</w:t>
      </w:r>
      <w:r w:rsidR="00F53114" w:rsidRPr="00102F63">
        <w:rPr>
          <w:rFonts w:ascii="宋体" w:eastAsia="宋体" w:hAnsi="宋体"/>
          <w:sz w:val="24"/>
        </w:rPr>
        <w:t>如果第一个类别的概率是第二个预测类别的概率的</w:t>
      </w:r>
      <w:r w:rsidR="00CD4BF5" w:rsidRPr="00102F63">
        <w:rPr>
          <w:rFonts w:ascii="宋体" w:eastAsia="宋体" w:hAnsi="宋体" w:hint="eastAsia"/>
          <w:sz w:val="24"/>
        </w:rPr>
        <w:t>3</w:t>
      </w:r>
      <w:r w:rsidR="00F53114" w:rsidRPr="00102F63">
        <w:rPr>
          <w:rFonts w:ascii="宋体" w:eastAsia="宋体" w:hAnsi="宋体"/>
          <w:sz w:val="24"/>
        </w:rPr>
        <w:t>倍以上，则将其视为高置信度预测。如果差值小于随机概率的</w:t>
      </w:r>
      <w:r w:rsidR="00CD4BF5" w:rsidRPr="00102F63">
        <w:rPr>
          <w:rFonts w:ascii="宋体" w:eastAsia="宋体" w:hAnsi="宋体" w:hint="eastAsia"/>
          <w:sz w:val="24"/>
        </w:rPr>
        <w:t>3</w:t>
      </w:r>
      <w:r w:rsidR="00F53114" w:rsidRPr="00102F63">
        <w:rPr>
          <w:rFonts w:ascii="宋体" w:eastAsia="宋体" w:hAnsi="宋体"/>
          <w:sz w:val="24"/>
        </w:rPr>
        <w:t>倍但大于概率的</w:t>
      </w:r>
      <w:r w:rsidR="00CD4BF5" w:rsidRPr="00102F63">
        <w:rPr>
          <w:rFonts w:ascii="宋体" w:eastAsia="宋体" w:hAnsi="宋体" w:hint="eastAsia"/>
          <w:sz w:val="24"/>
        </w:rPr>
        <w:t>1.5</w:t>
      </w:r>
      <w:r w:rsidR="00F53114" w:rsidRPr="00102F63">
        <w:rPr>
          <w:rFonts w:ascii="宋体" w:eastAsia="宋体" w:hAnsi="宋体"/>
          <w:sz w:val="24"/>
        </w:rPr>
        <w:t>倍，则将其视为中等置信度预测。如果两者都不是，则它是一个低置信度预测。</w:t>
      </w:r>
    </w:p>
    <w:p w14:paraId="723B6C2A" w14:textId="37D68097" w:rsidR="00723832" w:rsidRPr="00102F63" w:rsidRDefault="00723832" w:rsidP="008B1FAE">
      <w:pPr>
        <w:rPr>
          <w:rFonts w:ascii="宋体" w:eastAsia="宋体" w:hAnsi="宋体" w:hint="eastAsia"/>
          <w:sz w:val="24"/>
        </w:rPr>
      </w:pPr>
      <w:r w:rsidRPr="00723832">
        <w:rPr>
          <w:rFonts w:ascii="宋体" w:eastAsia="宋体" w:hAnsi="宋体"/>
          <w:sz w:val="24"/>
        </w:rPr>
        <w:t xml:space="preserve">The amino acid sequences of 54 HMTp210 with known serotypes and 345 HMTp210 with unknown serotypes were aligned using MAFFT. The aligned results were then trimmed by Trimal. After removing sequences with gaps exceeding 15% of the full length, 399 HMTp210 sequences, each containing 267 amino acids, were obtained. The 54 HMTp210 sequences with known serotypes were randomly divided into 37 and 17 sequences at a ratio of 7:3, serving as the training dataset and test dataset, respectively. The hydrophobicity of each amino acid in the 37 HMTp210 amino acid sequences, totaling 267 features, was used as the feature set to train a machine learning model. Initially, the Support Vector Machine (SVM) model was trained using the Python package "sklearn" with the following parameters: kernel='linear', C=200, probability=True. Additionally, Random Forest, Gradient Boosted Regression Tree, Naïve Bayes, Logistic Regression, Multilayer Perceptron, and Decision Tree models were trained using their default settings. The SVM model trained with 267 features exhibited the highest accuracy and overall performance, thus being selected as the preferred model for predicting HMTp210 serotypes. Confidence scores </w:t>
      </w:r>
      <w:r w:rsidRPr="00723832">
        <w:rPr>
          <w:rFonts w:ascii="宋体" w:eastAsia="宋体" w:hAnsi="宋体"/>
          <w:sz w:val="24"/>
        </w:rPr>
        <w:lastRenderedPageBreak/>
        <w:t>were assigned to each prediction based on the predicted serotype probabilities among the three serotypes. The serotype with the highest probability represented the predicted serotype. Therefore, the larger the difference in probability between the first and second predicted serotypes, the more reliable the prediction. To interpret this score difference, the following scheme was implemented to classify the confidence levels: if the probability of the first serotype was more than three times that of the second predicted serotype, it was considered a high-confidence prediction. If the difference was less than three times the random probability but more than 1.5 times, it was considered a medium-confidence prediction. If neither condition was met, it was classified as a low-confidence prediction.</w:t>
      </w:r>
    </w:p>
    <w:p w14:paraId="691099E1" w14:textId="2DFA0705" w:rsidR="00BE4CE8" w:rsidRPr="00102F63" w:rsidRDefault="00BE4CE8" w:rsidP="008B1FAE">
      <w:pPr>
        <w:rPr>
          <w:rFonts w:ascii="宋体" w:eastAsia="宋体" w:hAnsi="宋体" w:hint="eastAsia"/>
          <w:sz w:val="24"/>
        </w:rPr>
      </w:pPr>
      <w:r w:rsidRPr="00102F63">
        <w:rPr>
          <w:rFonts w:ascii="宋体" w:eastAsia="宋体" w:hAnsi="宋体" w:hint="eastAsia"/>
          <w:sz w:val="24"/>
        </w:rPr>
        <w:t>结果</w:t>
      </w:r>
      <w:r w:rsidR="00E24D40" w:rsidRPr="00102F63">
        <w:rPr>
          <w:rFonts w:ascii="宋体" w:eastAsia="宋体" w:hAnsi="宋体" w:hint="eastAsia"/>
          <w:sz w:val="24"/>
        </w:rPr>
        <w:t>与</w:t>
      </w:r>
      <w:r w:rsidRPr="00102F63">
        <w:rPr>
          <w:rFonts w:ascii="宋体" w:eastAsia="宋体" w:hAnsi="宋体" w:hint="eastAsia"/>
          <w:sz w:val="24"/>
        </w:rPr>
        <w:t>讨论：</w:t>
      </w:r>
    </w:p>
    <w:p w14:paraId="3D39F2EC" w14:textId="77777777" w:rsidR="006C6BFA" w:rsidRDefault="00EF70CE" w:rsidP="00563EFD">
      <w:pPr>
        <w:rPr>
          <w:rFonts w:ascii="宋体" w:eastAsia="宋体" w:hAnsi="宋体"/>
          <w:sz w:val="24"/>
        </w:rPr>
      </w:pPr>
      <w:r w:rsidRPr="00102F63">
        <w:rPr>
          <w:rFonts w:ascii="宋体" w:eastAsia="宋体" w:hAnsi="宋体" w:hint="eastAsia"/>
          <w:sz w:val="24"/>
        </w:rPr>
        <w:t>HMTp210的</w:t>
      </w:r>
      <w:r w:rsidR="00563EFD" w:rsidRPr="00102F63">
        <w:rPr>
          <w:rFonts w:ascii="宋体" w:eastAsia="宋体" w:hAnsi="宋体" w:hint="eastAsia"/>
          <w:sz w:val="24"/>
        </w:rPr>
        <w:t>region2 的基因同源性较低，</w:t>
      </w:r>
      <w:r w:rsidR="00563EFD" w:rsidRPr="00102F63">
        <w:rPr>
          <w:rFonts w:ascii="宋体" w:eastAsia="宋体" w:hAnsi="宋体" w:hint="eastAsia"/>
          <w:sz w:val="24"/>
        </w:rPr>
        <w:t>是</w:t>
      </w:r>
      <w:r w:rsidR="00563EFD" w:rsidRPr="00102F63">
        <w:rPr>
          <w:rFonts w:ascii="宋体" w:eastAsia="宋体" w:hAnsi="宋体" w:hint="eastAsia"/>
          <w:sz w:val="24"/>
        </w:rPr>
        <w:t>血清型差异分析的重点</w:t>
      </w:r>
      <w:r w:rsidR="005E2BE9" w:rsidRPr="00102F63">
        <w:rPr>
          <w:rFonts w:ascii="宋体" w:eastAsia="宋体" w:hAnsi="宋体" w:hint="eastAsia"/>
          <w:sz w:val="24"/>
        </w:rPr>
        <w:t>，但</w:t>
      </w:r>
      <w:r w:rsidR="009524EA" w:rsidRPr="00102F63">
        <w:rPr>
          <w:rFonts w:ascii="宋体" w:eastAsia="宋体" w:hAnsi="宋体"/>
          <w:sz w:val="24"/>
        </w:rPr>
        <w:t>仅</w:t>
      </w:r>
      <w:r w:rsidR="005E2BE9" w:rsidRPr="00102F63">
        <w:rPr>
          <w:rFonts w:ascii="宋体" w:eastAsia="宋体" w:hAnsi="宋体" w:hint="eastAsia"/>
          <w:sz w:val="24"/>
        </w:rPr>
        <w:t>依据region2绘制出的进化树不足以用来预测血清型</w:t>
      </w:r>
      <w:r w:rsidR="009524EA" w:rsidRPr="00102F63">
        <w:rPr>
          <w:rFonts w:ascii="宋体" w:eastAsia="宋体" w:hAnsi="宋体"/>
          <w:sz w:val="24"/>
        </w:rPr>
        <w:t>，因为</w:t>
      </w:r>
      <w:r w:rsidR="005E2BE9" w:rsidRPr="00102F63">
        <w:rPr>
          <w:rFonts w:ascii="宋体" w:eastAsia="宋体" w:hAnsi="宋体" w:hint="eastAsia"/>
          <w:sz w:val="24"/>
        </w:rPr>
        <w:t>region2序列中可能存在与决定血清型无关的序列</w:t>
      </w:r>
      <w:r w:rsidR="00F16A4F" w:rsidRPr="00102F63">
        <w:rPr>
          <w:rFonts w:ascii="宋体" w:eastAsia="宋体" w:hAnsi="宋体" w:hint="eastAsia"/>
          <w:sz w:val="24"/>
        </w:rPr>
        <w:t>，也有可能region2中只有结构上外露的氨基酸决定血清型，不外露的基因的进化没有明显规律</w:t>
      </w:r>
      <w:r w:rsidR="009524EA" w:rsidRPr="00102F63">
        <w:rPr>
          <w:rFonts w:ascii="宋体" w:eastAsia="宋体" w:hAnsi="宋体"/>
          <w:sz w:val="24"/>
        </w:rPr>
        <w:t>。为了测试从这项整体分析中收集的进化特征是否可用于更好地预测</w:t>
      </w:r>
      <w:r w:rsidR="00BB38F7" w:rsidRPr="00102F63">
        <w:rPr>
          <w:rFonts w:ascii="宋体" w:eastAsia="宋体" w:hAnsi="宋体" w:hint="eastAsia"/>
          <w:sz w:val="24"/>
        </w:rPr>
        <w:t>未知HMTp210的血清型</w:t>
      </w:r>
      <w:r w:rsidR="009524EA" w:rsidRPr="00102F63">
        <w:rPr>
          <w:rFonts w:ascii="宋体" w:eastAsia="宋体" w:hAnsi="宋体"/>
          <w:sz w:val="24"/>
        </w:rPr>
        <w:t>，我们采用了一个 ML 框架，该框架从</w:t>
      </w:r>
      <w:r w:rsidR="00E17F83" w:rsidRPr="00102F63">
        <w:rPr>
          <w:rFonts w:ascii="宋体" w:eastAsia="宋体" w:hAnsi="宋体" w:hint="eastAsia"/>
          <w:sz w:val="24"/>
        </w:rPr>
        <w:t>HMTp210氨基酸序列</w:t>
      </w:r>
      <w:r w:rsidR="008B7E8B" w:rsidRPr="00102F63">
        <w:rPr>
          <w:rFonts w:ascii="宋体" w:eastAsia="宋体" w:hAnsi="宋体" w:hint="eastAsia"/>
          <w:sz w:val="24"/>
        </w:rPr>
        <w:t>的</w:t>
      </w:r>
      <w:r w:rsidR="00796E8B" w:rsidRPr="00102F63">
        <w:rPr>
          <w:rFonts w:ascii="宋体" w:eastAsia="宋体" w:hAnsi="宋体" w:hint="eastAsia"/>
          <w:sz w:val="24"/>
        </w:rPr>
        <w:t>疏水性</w:t>
      </w:r>
      <w:r w:rsidR="009524EA" w:rsidRPr="00102F63">
        <w:rPr>
          <w:rFonts w:ascii="宋体" w:eastAsia="宋体" w:hAnsi="宋体"/>
          <w:sz w:val="24"/>
        </w:rPr>
        <w:t xml:space="preserve">中学习，以预测研究不足的序列的特异性。用一 </w:t>
      </w:r>
      <w:r w:rsidR="00917A5C" w:rsidRPr="00102F63">
        <w:rPr>
          <w:rFonts w:ascii="宋体" w:eastAsia="宋体" w:hAnsi="宋体" w:hint="eastAsia"/>
          <w:sz w:val="24"/>
        </w:rPr>
        <w:t>54</w:t>
      </w:r>
      <w:r w:rsidR="009524EA" w:rsidRPr="00102F63">
        <w:rPr>
          <w:rFonts w:ascii="宋体" w:eastAsia="宋体" w:hAnsi="宋体"/>
          <w:sz w:val="24"/>
        </w:rPr>
        <w:t>个</w:t>
      </w:r>
      <w:r w:rsidR="00917A5C" w:rsidRPr="00102F63">
        <w:rPr>
          <w:rFonts w:ascii="宋体" w:eastAsia="宋体" w:hAnsi="宋体" w:hint="eastAsia"/>
          <w:sz w:val="24"/>
        </w:rPr>
        <w:t>HMTp210血清型已知</w:t>
      </w:r>
      <w:r w:rsidR="009524EA" w:rsidRPr="00102F63">
        <w:rPr>
          <w:rFonts w:ascii="宋体" w:eastAsia="宋体" w:hAnsi="宋体"/>
          <w:sz w:val="24"/>
        </w:rPr>
        <w:t>序列与</w:t>
      </w:r>
      <w:r w:rsidR="00917A5C" w:rsidRPr="00102F63">
        <w:rPr>
          <w:rFonts w:ascii="宋体" w:eastAsia="宋体" w:hAnsi="宋体" w:hint="eastAsia"/>
          <w:sz w:val="24"/>
        </w:rPr>
        <w:t>345个未知序列</w:t>
      </w:r>
      <w:r w:rsidR="009524EA" w:rsidRPr="00102F63">
        <w:rPr>
          <w:rFonts w:ascii="宋体" w:eastAsia="宋体" w:hAnsi="宋体"/>
          <w:sz w:val="24"/>
        </w:rPr>
        <w:t>的</w:t>
      </w:r>
      <w:r w:rsidR="00917A5C" w:rsidRPr="00102F63">
        <w:rPr>
          <w:rFonts w:ascii="宋体" w:eastAsia="宋体" w:hAnsi="宋体" w:hint="eastAsia"/>
          <w:sz w:val="24"/>
        </w:rPr>
        <w:t>HMTp210进行</w:t>
      </w:r>
      <w:r w:rsidR="00D023D0" w:rsidRPr="00102F63">
        <w:rPr>
          <w:rFonts w:ascii="宋体" w:eastAsia="宋体" w:hAnsi="宋体" w:hint="eastAsia"/>
          <w:sz w:val="24"/>
        </w:rPr>
        <w:t>序列</w:t>
      </w:r>
      <w:r w:rsidR="009524EA" w:rsidRPr="00102F63">
        <w:rPr>
          <w:rFonts w:ascii="宋体" w:eastAsia="宋体" w:hAnsi="宋体"/>
          <w:sz w:val="24"/>
        </w:rPr>
        <w:t>比对，</w:t>
      </w:r>
      <w:r w:rsidR="00364D50" w:rsidRPr="00102F63">
        <w:rPr>
          <w:rFonts w:ascii="宋体" w:eastAsia="宋体" w:hAnsi="宋体" w:hint="eastAsia"/>
          <w:sz w:val="24"/>
        </w:rPr>
        <w:t>将</w:t>
      </w:r>
      <w:r w:rsidR="009524EA" w:rsidRPr="00102F63">
        <w:rPr>
          <w:rFonts w:ascii="宋体" w:eastAsia="宋体" w:hAnsi="宋体"/>
          <w:sz w:val="24"/>
        </w:rPr>
        <w:t>公共核心内的每个对齐位置</w:t>
      </w:r>
      <w:r w:rsidR="00364D50" w:rsidRPr="00102F63">
        <w:rPr>
          <w:rFonts w:ascii="宋体" w:eastAsia="宋体" w:hAnsi="宋体" w:hint="eastAsia"/>
          <w:sz w:val="24"/>
        </w:rPr>
        <w:t>的氨基酸的疏水性作为特征集，</w:t>
      </w:r>
      <w:r w:rsidR="009524EA" w:rsidRPr="00102F63">
        <w:rPr>
          <w:rFonts w:ascii="宋体" w:eastAsia="宋体" w:hAnsi="宋体"/>
          <w:sz w:val="24"/>
        </w:rPr>
        <w:t>然后，这些属性被用作训练多个 ML 模型的特征。在使用的 7 种方法中，</w:t>
      </w:r>
      <w:r w:rsidR="00AA53EE" w:rsidRPr="00102F63">
        <w:rPr>
          <w:rFonts w:ascii="宋体" w:eastAsia="宋体" w:hAnsi="宋体" w:hint="eastAsia"/>
          <w:sz w:val="24"/>
        </w:rPr>
        <w:t>支持向量机</w:t>
      </w:r>
      <w:r w:rsidR="009524EA" w:rsidRPr="00102F63">
        <w:rPr>
          <w:rFonts w:ascii="宋体" w:eastAsia="宋体" w:hAnsi="宋体"/>
          <w:sz w:val="24"/>
        </w:rPr>
        <w:t>（</w:t>
      </w:r>
      <w:r w:rsidR="00AA53EE" w:rsidRPr="00102F63">
        <w:rPr>
          <w:rFonts w:ascii="宋体" w:eastAsia="宋体" w:hAnsi="宋体" w:hint="eastAsia"/>
          <w:sz w:val="24"/>
        </w:rPr>
        <w:t>SVM</w:t>
      </w:r>
      <w:r w:rsidR="009524EA" w:rsidRPr="00102F63">
        <w:rPr>
          <w:rFonts w:ascii="宋体" w:eastAsia="宋体" w:hAnsi="宋体"/>
          <w:sz w:val="24"/>
        </w:rPr>
        <w:t>）模型基于使用</w:t>
      </w:r>
      <w:r w:rsidR="00AA53EE" w:rsidRPr="00102F63">
        <w:rPr>
          <w:rFonts w:ascii="宋体" w:eastAsia="宋体" w:hAnsi="宋体" w:hint="eastAsia"/>
          <w:sz w:val="24"/>
        </w:rPr>
        <w:t>267</w:t>
      </w:r>
      <w:r w:rsidR="009524EA" w:rsidRPr="00102F63">
        <w:rPr>
          <w:rFonts w:ascii="宋体" w:eastAsia="宋体" w:hAnsi="宋体"/>
          <w:sz w:val="24"/>
        </w:rPr>
        <w:t>个贡献特征实现了最佳预测性能（准确率~9</w:t>
      </w:r>
      <w:r w:rsidR="00DD2D70" w:rsidRPr="00102F63">
        <w:rPr>
          <w:rFonts w:ascii="宋体" w:eastAsia="宋体" w:hAnsi="宋体" w:hint="eastAsia"/>
          <w:sz w:val="24"/>
        </w:rPr>
        <w:t>8</w:t>
      </w:r>
      <w:r w:rsidR="009524EA" w:rsidRPr="00102F63">
        <w:rPr>
          <w:rFonts w:ascii="宋体" w:eastAsia="宋体" w:hAnsi="宋体"/>
          <w:sz w:val="24"/>
        </w:rPr>
        <w:t>%）</w:t>
      </w:r>
      <w:r w:rsidR="0042369A" w:rsidRPr="00102F63">
        <w:rPr>
          <w:rFonts w:ascii="宋体" w:eastAsia="宋体" w:hAnsi="宋体" w:hint="eastAsia"/>
          <w:sz w:val="24"/>
        </w:rPr>
        <w:t>，得到的准确度如表</w:t>
      </w:r>
      <w:r w:rsidR="00CE66D4" w:rsidRPr="00102F63">
        <w:rPr>
          <w:rFonts w:ascii="宋体" w:eastAsia="宋体" w:hAnsi="宋体" w:hint="eastAsia"/>
          <w:sz w:val="24"/>
        </w:rPr>
        <w:t>（图</w:t>
      </w:r>
      <w:r w:rsidR="00612ADB" w:rsidRPr="00102F63">
        <w:rPr>
          <w:rFonts w:ascii="宋体" w:eastAsia="宋体" w:hAnsi="宋体" w:hint="eastAsia"/>
          <w:sz w:val="24"/>
        </w:rPr>
        <w:t>3-10</w:t>
      </w:r>
      <w:r w:rsidR="00FB2A08" w:rsidRPr="00102F63">
        <w:rPr>
          <w:rFonts w:ascii="宋体" w:eastAsia="宋体" w:hAnsi="宋体" w:hint="eastAsia"/>
          <w:sz w:val="24"/>
        </w:rPr>
        <w:t>B</w:t>
      </w:r>
      <w:r w:rsidR="00CE66D4" w:rsidRPr="00102F63">
        <w:rPr>
          <w:rFonts w:ascii="宋体" w:eastAsia="宋体" w:hAnsi="宋体" w:hint="eastAsia"/>
          <w:sz w:val="24"/>
        </w:rPr>
        <w:t>）</w:t>
      </w:r>
      <w:r w:rsidR="0052763C" w:rsidRPr="00102F63">
        <w:rPr>
          <w:rFonts w:ascii="宋体" w:eastAsia="宋体" w:hAnsi="宋体"/>
          <w:sz w:val="24"/>
        </w:rPr>
        <w:t>。</w:t>
      </w:r>
      <w:r w:rsidR="00231FB9" w:rsidRPr="00102F63">
        <w:rPr>
          <w:rFonts w:ascii="宋体" w:eastAsia="宋体" w:hAnsi="宋体" w:hint="eastAsia"/>
          <w:sz w:val="24"/>
        </w:rPr>
        <w:t>以</w:t>
      </w:r>
      <w:r w:rsidR="00B922C6" w:rsidRPr="00102F63">
        <w:rPr>
          <w:rFonts w:ascii="宋体" w:eastAsia="宋体" w:hAnsi="宋体" w:hint="eastAsia"/>
          <w:sz w:val="24"/>
        </w:rPr>
        <w:t>测试数据集</w:t>
      </w:r>
      <w:r w:rsidR="00231FB9" w:rsidRPr="00102F63">
        <w:rPr>
          <w:rFonts w:ascii="宋体" w:eastAsia="宋体" w:hAnsi="宋体" w:hint="eastAsia"/>
          <w:sz w:val="24"/>
        </w:rPr>
        <w:t>用SVM预测出的</w:t>
      </w:r>
      <w:r w:rsidR="00F63584" w:rsidRPr="00102F63">
        <w:rPr>
          <w:rFonts w:ascii="宋体" w:eastAsia="宋体" w:hAnsi="宋体" w:hint="eastAsia"/>
          <w:sz w:val="24"/>
        </w:rPr>
        <w:t>预测结果作混淆矩阵</w:t>
      </w:r>
      <w:r w:rsidR="0052763C" w:rsidRPr="00102F63">
        <w:rPr>
          <w:rFonts w:ascii="宋体" w:eastAsia="宋体" w:hAnsi="宋体"/>
          <w:sz w:val="24"/>
        </w:rPr>
        <w:t>。为了进一步验证该模型，</w:t>
      </w:r>
      <w:r w:rsidR="006F4BC7" w:rsidRPr="00102F63">
        <w:rPr>
          <w:rFonts w:ascii="宋体" w:eastAsia="宋体" w:hAnsi="宋体" w:hint="eastAsia"/>
          <w:sz w:val="24"/>
        </w:rPr>
        <w:t>用54</w:t>
      </w:r>
      <w:r w:rsidR="0052763C" w:rsidRPr="00102F63">
        <w:rPr>
          <w:rFonts w:ascii="宋体" w:eastAsia="宋体" w:hAnsi="宋体"/>
          <w:sz w:val="24"/>
        </w:rPr>
        <w:t>个</w:t>
      </w:r>
      <w:r w:rsidR="006F4BC7" w:rsidRPr="00102F63">
        <w:rPr>
          <w:rFonts w:ascii="宋体" w:eastAsia="宋体" w:hAnsi="宋体" w:hint="eastAsia"/>
          <w:sz w:val="24"/>
        </w:rPr>
        <w:t>HMTp210</w:t>
      </w:r>
      <w:r w:rsidR="0052763C" w:rsidRPr="00102F63">
        <w:rPr>
          <w:rFonts w:ascii="宋体" w:eastAsia="宋体" w:hAnsi="宋体"/>
          <w:sz w:val="24"/>
        </w:rPr>
        <w:t>的验证集测试了它的性能</w:t>
      </w:r>
      <w:r w:rsidR="0042369A" w:rsidRPr="00102F63">
        <w:rPr>
          <w:rFonts w:ascii="宋体" w:eastAsia="宋体" w:hAnsi="宋体" w:hint="eastAsia"/>
          <w:sz w:val="24"/>
        </w:rPr>
        <w:t>（</w:t>
      </w:r>
      <w:r w:rsidR="00CE66D4" w:rsidRPr="00102F63">
        <w:rPr>
          <w:rFonts w:ascii="宋体" w:eastAsia="宋体" w:hAnsi="宋体" w:hint="eastAsia"/>
          <w:sz w:val="24"/>
        </w:rPr>
        <w:t>图</w:t>
      </w:r>
      <w:r w:rsidR="00612ADB" w:rsidRPr="00102F63">
        <w:rPr>
          <w:rFonts w:ascii="宋体" w:eastAsia="宋体" w:hAnsi="宋体" w:hint="eastAsia"/>
          <w:sz w:val="24"/>
        </w:rPr>
        <w:t>3-10</w:t>
      </w:r>
      <w:r w:rsidR="00FB2A08" w:rsidRPr="00102F63">
        <w:rPr>
          <w:rFonts w:ascii="宋体" w:eastAsia="宋体" w:hAnsi="宋体" w:hint="eastAsia"/>
          <w:sz w:val="24"/>
        </w:rPr>
        <w:t>C</w:t>
      </w:r>
      <w:r w:rsidR="0042369A" w:rsidRPr="00102F63">
        <w:rPr>
          <w:rFonts w:ascii="宋体" w:eastAsia="宋体" w:hAnsi="宋体" w:hint="eastAsia"/>
          <w:sz w:val="24"/>
        </w:rPr>
        <w:t>）</w:t>
      </w:r>
      <w:r w:rsidR="00442273" w:rsidRPr="00102F63">
        <w:rPr>
          <w:rFonts w:ascii="宋体" w:eastAsia="宋体" w:hAnsi="宋体" w:hint="eastAsia"/>
          <w:sz w:val="24"/>
        </w:rPr>
        <w:t>。</w:t>
      </w:r>
      <w:r w:rsidR="00CE66D4" w:rsidRPr="00102F63">
        <w:rPr>
          <w:rFonts w:ascii="宋体" w:eastAsia="宋体" w:hAnsi="宋体" w:hint="eastAsia"/>
          <w:sz w:val="24"/>
        </w:rPr>
        <w:t>用得到的支持向量机模型预测了345个未知血清型的HMTp210的</w:t>
      </w:r>
      <w:r w:rsidR="008E55F6" w:rsidRPr="00102F63">
        <w:rPr>
          <w:rFonts w:ascii="宋体" w:eastAsia="宋体" w:hAnsi="宋体" w:hint="eastAsia"/>
          <w:sz w:val="24"/>
        </w:rPr>
        <w:t>血清型</w:t>
      </w:r>
      <w:r w:rsidR="008E5D88" w:rsidRPr="00102F63">
        <w:rPr>
          <w:rFonts w:ascii="宋体" w:eastAsia="宋体" w:hAnsi="宋体" w:hint="eastAsia"/>
          <w:sz w:val="24"/>
        </w:rPr>
        <w:t>（图</w:t>
      </w:r>
      <w:r w:rsidR="00612ADB" w:rsidRPr="00102F63">
        <w:rPr>
          <w:rFonts w:ascii="宋体" w:eastAsia="宋体" w:hAnsi="宋体" w:hint="eastAsia"/>
          <w:sz w:val="24"/>
        </w:rPr>
        <w:t>3-10</w:t>
      </w:r>
      <w:r w:rsidR="008E5D88" w:rsidRPr="00102F63">
        <w:rPr>
          <w:rFonts w:ascii="宋体" w:eastAsia="宋体" w:hAnsi="宋体" w:hint="eastAsia"/>
          <w:sz w:val="24"/>
        </w:rPr>
        <w:t>D）</w:t>
      </w:r>
      <w:r w:rsidR="00DC3725" w:rsidRPr="00102F63">
        <w:rPr>
          <w:rFonts w:ascii="宋体" w:eastAsia="宋体" w:hAnsi="宋体" w:hint="eastAsia"/>
          <w:sz w:val="24"/>
        </w:rPr>
        <w:t>。</w:t>
      </w:r>
    </w:p>
    <w:p w14:paraId="36921BF0" w14:textId="591FBFBB" w:rsidR="008B1FAE" w:rsidRDefault="006C6BFA" w:rsidP="00563EFD">
      <w:pPr>
        <w:rPr>
          <w:rFonts w:hint="eastAsia"/>
        </w:rPr>
      </w:pPr>
      <w:r w:rsidRPr="00FC5AC0">
        <w:rPr>
          <w:rFonts w:ascii="Times New Roman" w:hAnsi="Times New Roman" w:cs="Times New Roman"/>
          <w:sz w:val="21"/>
          <w:szCs w:val="21"/>
        </w:rPr>
        <w:t xml:space="preserve">The gene homology in region 2 of HMTp210 is relatively low, making it a focus for serotype difference analysis. However, constructing an evolutionary tree solely based on region 2 is insufficient for predicting serotypes, as there may be sequences in region 2 that are unrelated to serotype determination, or it may be that only the structurally exposed amino acids in region 2 determine the serotype, while the evolution of non-exposed genes does not follow a clear pattern. To test whether evolutionary features collected from this comprehensive analysis can be used to better predict the serotypes of unknown HMTp210, we employed an ML framework that learns from the hydrophobicity of HMTp210 amino acid sequences to predict the specificity of understudied sequences. Sequence alignment was performed between 54 HMTp210 sequences </w:t>
      </w:r>
      <w:r w:rsidRPr="00FC5AC0">
        <w:rPr>
          <w:rFonts w:ascii="Times New Roman" w:hAnsi="Times New Roman" w:cs="Times New Roman"/>
          <w:sz w:val="21"/>
          <w:szCs w:val="21"/>
        </w:rPr>
        <w:lastRenderedPageBreak/>
        <w:t xml:space="preserve">with known serotypes and 345 HMTp210 sequences with unknown serotypes. The hydrophobicity of amino acids at each aligned position within the common core was used as the feature set. These properties were then used as features to train multiple ML models. Among the seven methods used, the Support Vector Machine (SVM) model achieved the best predictive performance (accuracy ~98%) based on 267 contributing features, with the obtained accuracy presented in Table (Fig </w:t>
      </w:r>
      <w:r w:rsidR="009E0A4D" w:rsidRPr="00FC5AC0">
        <w:rPr>
          <w:rFonts w:ascii="Times New Roman" w:hAnsi="Times New Roman" w:cs="Times New Roman"/>
          <w:sz w:val="21"/>
          <w:szCs w:val="21"/>
        </w:rPr>
        <w:t>2(b)</w:t>
      </w:r>
      <w:r w:rsidRPr="00FC5AC0">
        <w:rPr>
          <w:rFonts w:ascii="Times New Roman" w:hAnsi="Times New Roman" w:cs="Times New Roman"/>
          <w:sz w:val="21"/>
          <w:szCs w:val="21"/>
        </w:rPr>
        <w:t xml:space="preserve">). The prediction results of the SVM on the test dataset were used to construct a confusion matrix. To further validate the model, its performance was tested using a validation set of 54 HMTp210 sequences (Fig </w:t>
      </w:r>
      <w:r w:rsidR="009E0A4D" w:rsidRPr="00FC5AC0">
        <w:rPr>
          <w:rFonts w:ascii="Times New Roman" w:hAnsi="Times New Roman" w:cs="Times New Roman"/>
          <w:sz w:val="21"/>
          <w:szCs w:val="21"/>
        </w:rPr>
        <w:t>2(c)</w:t>
      </w:r>
      <w:r w:rsidRPr="00FC5AC0">
        <w:rPr>
          <w:rFonts w:ascii="Times New Roman" w:hAnsi="Times New Roman" w:cs="Times New Roman"/>
          <w:sz w:val="21"/>
          <w:szCs w:val="21"/>
        </w:rPr>
        <w:t xml:space="preserve">). The obtained SVM model was used to predict the serotypes of the 345 HMTp210 sequences with unknown serotypes (Fig </w:t>
      </w:r>
      <w:r w:rsidR="009E0A4D" w:rsidRPr="00FC5AC0">
        <w:rPr>
          <w:rFonts w:ascii="Times New Roman" w:hAnsi="Times New Roman" w:cs="Times New Roman"/>
          <w:sz w:val="21"/>
          <w:szCs w:val="21"/>
        </w:rPr>
        <w:t>2(d)</w:t>
      </w:r>
      <w:r w:rsidRPr="00FC5AC0">
        <w:rPr>
          <w:rFonts w:ascii="Times New Roman" w:hAnsi="Times New Roman" w:cs="Times New Roman"/>
          <w:sz w:val="21"/>
          <w:szCs w:val="21"/>
        </w:rPr>
        <w:t>).</w:t>
      </w:r>
      <w:r w:rsidR="00477538" w:rsidRPr="00FC5AC0">
        <w:rPr>
          <w:rFonts w:ascii="Times New Roman" w:hAnsi="Times New Roman" w:cs="Times New Roman"/>
          <w:sz w:val="21"/>
          <w:szCs w:val="21"/>
        </w:rPr>
        <w:t xml:space="preserve"> </w:t>
      </w:r>
      <w:r w:rsidR="00477538">
        <w:rPr>
          <w:noProof/>
        </w:rPr>
        <w:drawing>
          <wp:inline distT="0" distB="0" distL="0" distR="0" wp14:anchorId="7715662D" wp14:editId="0ECC58AC">
            <wp:extent cx="5274310" cy="3289300"/>
            <wp:effectExtent l="0" t="0" r="2540" b="6350"/>
            <wp:docPr id="917832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289300"/>
                    </a:xfrm>
                    <a:prstGeom prst="rect">
                      <a:avLst/>
                    </a:prstGeom>
                    <a:noFill/>
                    <a:ln>
                      <a:noFill/>
                    </a:ln>
                  </pic:spPr>
                </pic:pic>
              </a:graphicData>
            </a:graphic>
          </wp:inline>
        </w:drawing>
      </w:r>
    </w:p>
    <w:p w14:paraId="46A7F909" w14:textId="41C2B46B" w:rsidR="008F3754" w:rsidRPr="00612ADB" w:rsidRDefault="00717FB0" w:rsidP="000F13A7">
      <w:pPr>
        <w:pStyle w:val="a9"/>
        <w:jc w:val="center"/>
        <w:rPr>
          <w:rFonts w:hint="eastAsia"/>
          <w:sz w:val="21"/>
          <w:szCs w:val="21"/>
        </w:rPr>
      </w:pPr>
      <w:r>
        <w:rPr>
          <w:rFonts w:hint="eastAsia"/>
          <w:sz w:val="21"/>
          <w:szCs w:val="21"/>
        </w:rPr>
        <w:t xml:space="preserve">Figure.2 </w:t>
      </w:r>
      <w:r w:rsidR="00EF0C31">
        <w:rPr>
          <w:rFonts w:hint="eastAsia"/>
          <w:sz w:val="21"/>
          <w:szCs w:val="21"/>
        </w:rPr>
        <w:t>用机器学习模型预测</w:t>
      </w:r>
      <w:r w:rsidR="00EF0C31">
        <w:rPr>
          <w:rFonts w:hint="eastAsia"/>
          <w:sz w:val="21"/>
          <w:szCs w:val="21"/>
        </w:rPr>
        <w:t>HMTp210</w:t>
      </w:r>
      <w:r w:rsidR="00EF0C31">
        <w:rPr>
          <w:rFonts w:hint="eastAsia"/>
          <w:sz w:val="21"/>
          <w:szCs w:val="21"/>
        </w:rPr>
        <w:t>的血清型。</w:t>
      </w:r>
      <w:r w:rsidR="001120C3">
        <w:rPr>
          <w:rFonts w:hint="eastAsia"/>
          <w:sz w:val="21"/>
          <w:szCs w:val="21"/>
        </w:rPr>
        <w:t>(a)</w:t>
      </w:r>
      <w:r w:rsidR="001120C3">
        <w:rPr>
          <w:rFonts w:hint="eastAsia"/>
          <w:sz w:val="21"/>
          <w:szCs w:val="21"/>
        </w:rPr>
        <w:t>是数据处理流程，</w:t>
      </w:r>
      <w:r>
        <w:rPr>
          <w:rFonts w:hint="eastAsia"/>
          <w:sz w:val="21"/>
          <w:szCs w:val="21"/>
        </w:rPr>
        <w:t>(b)</w:t>
      </w:r>
      <w:r w:rsidR="008B1FAE" w:rsidRPr="00612ADB">
        <w:rPr>
          <w:rFonts w:hint="eastAsia"/>
          <w:sz w:val="21"/>
          <w:szCs w:val="21"/>
        </w:rPr>
        <w:t>是</w:t>
      </w:r>
      <w:r w:rsidR="009F3672">
        <w:rPr>
          <w:rFonts w:hint="eastAsia"/>
          <w:sz w:val="21"/>
          <w:szCs w:val="21"/>
        </w:rPr>
        <w:t>7</w:t>
      </w:r>
      <w:r w:rsidR="008B1FAE" w:rsidRPr="00612ADB">
        <w:rPr>
          <w:rFonts w:hint="eastAsia"/>
          <w:sz w:val="21"/>
          <w:szCs w:val="21"/>
        </w:rPr>
        <w:t>种模型预测</w:t>
      </w:r>
      <w:r w:rsidR="008B1FAE" w:rsidRPr="00612ADB">
        <w:rPr>
          <w:rFonts w:hint="eastAsia"/>
          <w:sz w:val="21"/>
          <w:szCs w:val="21"/>
        </w:rPr>
        <w:t>HMTp210</w:t>
      </w:r>
      <w:r w:rsidR="008B1FAE" w:rsidRPr="00612ADB">
        <w:rPr>
          <w:rFonts w:hint="eastAsia"/>
          <w:sz w:val="21"/>
          <w:szCs w:val="21"/>
        </w:rPr>
        <w:t>血清型结果的准确性，</w:t>
      </w:r>
      <w:r w:rsidR="009F3672">
        <w:rPr>
          <w:rFonts w:hint="eastAsia"/>
          <w:sz w:val="21"/>
          <w:szCs w:val="21"/>
        </w:rPr>
        <w:t>(c)</w:t>
      </w:r>
      <w:r w:rsidR="008B1FAE" w:rsidRPr="00612ADB">
        <w:rPr>
          <w:rFonts w:hint="eastAsia"/>
          <w:sz w:val="21"/>
          <w:szCs w:val="21"/>
        </w:rPr>
        <w:t>是根据使用效果最佳的支持向量机模型预测测试数据集得到的数据制作的混淆矩阵，</w:t>
      </w:r>
      <w:r w:rsidR="009F3672">
        <w:rPr>
          <w:rFonts w:hint="eastAsia"/>
          <w:sz w:val="21"/>
          <w:szCs w:val="21"/>
        </w:rPr>
        <w:t>(d)</w:t>
      </w:r>
      <w:r w:rsidR="008B1FAE" w:rsidRPr="00612ADB">
        <w:rPr>
          <w:rFonts w:hint="eastAsia"/>
          <w:sz w:val="21"/>
          <w:szCs w:val="21"/>
        </w:rPr>
        <w:t>是用该支持向量机模型预测</w:t>
      </w:r>
      <w:r w:rsidR="008B1FAE" w:rsidRPr="00612ADB">
        <w:rPr>
          <w:rFonts w:hint="eastAsia"/>
          <w:sz w:val="21"/>
          <w:szCs w:val="21"/>
        </w:rPr>
        <w:t>345</w:t>
      </w:r>
      <w:r w:rsidR="008B1FAE" w:rsidRPr="00612ADB">
        <w:rPr>
          <w:rFonts w:hint="eastAsia"/>
          <w:sz w:val="21"/>
          <w:szCs w:val="21"/>
        </w:rPr>
        <w:t>种未知血清型的</w:t>
      </w:r>
      <w:r w:rsidR="008B1FAE" w:rsidRPr="00612ADB">
        <w:rPr>
          <w:rFonts w:hint="eastAsia"/>
          <w:sz w:val="21"/>
          <w:szCs w:val="21"/>
        </w:rPr>
        <w:t>HMTp210</w:t>
      </w:r>
      <w:r w:rsidR="008B1FAE" w:rsidRPr="00612ADB">
        <w:rPr>
          <w:rFonts w:hint="eastAsia"/>
          <w:sz w:val="21"/>
          <w:szCs w:val="21"/>
        </w:rPr>
        <w:t>得到的结果制作的</w:t>
      </w:r>
      <w:r w:rsidR="00DD13DB" w:rsidRPr="00612ADB">
        <w:rPr>
          <w:rFonts w:hint="eastAsia"/>
          <w:sz w:val="21"/>
          <w:szCs w:val="21"/>
        </w:rPr>
        <w:t>散点图</w:t>
      </w:r>
      <w:r w:rsidR="008B1FAE" w:rsidRPr="00612ADB">
        <w:rPr>
          <w:rFonts w:hint="eastAsia"/>
          <w:sz w:val="21"/>
          <w:szCs w:val="21"/>
        </w:rPr>
        <w:t>，其中横坐标是</w:t>
      </w:r>
      <w:r w:rsidR="00DD13DB" w:rsidRPr="00612ADB">
        <w:rPr>
          <w:rFonts w:hint="eastAsia"/>
          <w:sz w:val="21"/>
          <w:szCs w:val="21"/>
        </w:rPr>
        <w:t>为对应血清型的可能性</w:t>
      </w:r>
      <w:r w:rsidR="008B1FAE" w:rsidRPr="00612ADB">
        <w:rPr>
          <w:rFonts w:hint="eastAsia"/>
          <w:sz w:val="21"/>
          <w:szCs w:val="21"/>
        </w:rPr>
        <w:t>，纵坐标是</w:t>
      </w:r>
      <w:r w:rsidR="000108F0" w:rsidRPr="00612ADB">
        <w:rPr>
          <w:rFonts w:hint="eastAsia"/>
          <w:sz w:val="21"/>
          <w:szCs w:val="21"/>
        </w:rPr>
        <w:t>三种</w:t>
      </w:r>
      <w:r w:rsidR="008B1FAE" w:rsidRPr="00612ADB">
        <w:rPr>
          <w:rFonts w:hint="eastAsia"/>
          <w:sz w:val="21"/>
          <w:szCs w:val="21"/>
        </w:rPr>
        <w:t>血清型，</w:t>
      </w:r>
      <w:r w:rsidR="000F13A7" w:rsidRPr="00612ADB">
        <w:rPr>
          <w:rFonts w:hint="eastAsia"/>
          <w:sz w:val="21"/>
          <w:szCs w:val="21"/>
        </w:rPr>
        <w:t>以</w:t>
      </w:r>
      <w:r w:rsidR="000F13A7" w:rsidRPr="00612ADB">
        <w:rPr>
          <w:sz w:val="21"/>
          <w:szCs w:val="21"/>
        </w:rPr>
        <w:t>决策函数值的绝对值</w:t>
      </w:r>
      <w:r w:rsidR="000F13A7" w:rsidRPr="00612ADB">
        <w:rPr>
          <w:rFonts w:hint="eastAsia"/>
          <w:sz w:val="21"/>
          <w:szCs w:val="21"/>
        </w:rPr>
        <w:t>为置信度，</w:t>
      </w:r>
      <w:r w:rsidR="008B1FAE" w:rsidRPr="00612ADB">
        <w:rPr>
          <w:rFonts w:hint="eastAsia"/>
          <w:sz w:val="21"/>
          <w:szCs w:val="21"/>
        </w:rPr>
        <w:t>红色代表对应的</w:t>
      </w:r>
      <w:r w:rsidR="000F13A7" w:rsidRPr="00612ADB">
        <w:rPr>
          <w:rFonts w:hint="eastAsia"/>
          <w:sz w:val="21"/>
          <w:szCs w:val="21"/>
        </w:rPr>
        <w:t>置信度高</w:t>
      </w:r>
      <w:r w:rsidR="008B1FAE" w:rsidRPr="00612ADB">
        <w:rPr>
          <w:rFonts w:hint="eastAsia"/>
          <w:sz w:val="21"/>
          <w:szCs w:val="21"/>
        </w:rPr>
        <w:t>，</w:t>
      </w:r>
      <w:r w:rsidR="00E12638" w:rsidRPr="00612ADB">
        <w:rPr>
          <w:rFonts w:hint="eastAsia"/>
          <w:sz w:val="21"/>
          <w:szCs w:val="21"/>
        </w:rPr>
        <w:t>绿色代表置信度中等，</w:t>
      </w:r>
      <w:r w:rsidR="008B1FAE" w:rsidRPr="00612ADB">
        <w:rPr>
          <w:rFonts w:hint="eastAsia"/>
          <w:sz w:val="21"/>
          <w:szCs w:val="21"/>
        </w:rPr>
        <w:t>蓝色代表</w:t>
      </w:r>
      <w:r w:rsidR="000F13A7" w:rsidRPr="00612ADB">
        <w:rPr>
          <w:rFonts w:hint="eastAsia"/>
          <w:sz w:val="21"/>
          <w:szCs w:val="21"/>
        </w:rPr>
        <w:t>对应的置信度低</w:t>
      </w:r>
      <w:r w:rsidR="008B1FAE" w:rsidRPr="00612ADB">
        <w:rPr>
          <w:rFonts w:hint="eastAsia"/>
          <w:sz w:val="21"/>
          <w:szCs w:val="21"/>
        </w:rPr>
        <w:t>。</w:t>
      </w:r>
    </w:p>
    <w:sectPr w:rsidR="008F3754" w:rsidRPr="00612A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D617D" w14:textId="77777777" w:rsidR="00E70472" w:rsidRDefault="00E70472" w:rsidP="00F023B8">
      <w:pPr>
        <w:spacing w:after="0" w:line="240" w:lineRule="auto"/>
        <w:rPr>
          <w:rFonts w:hint="eastAsia"/>
        </w:rPr>
      </w:pPr>
      <w:r>
        <w:separator/>
      </w:r>
    </w:p>
  </w:endnote>
  <w:endnote w:type="continuationSeparator" w:id="0">
    <w:p w14:paraId="338E3DAC" w14:textId="77777777" w:rsidR="00E70472" w:rsidRDefault="00E70472" w:rsidP="00F023B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576D8" w14:textId="77777777" w:rsidR="00E70472" w:rsidRDefault="00E70472" w:rsidP="00F023B8">
      <w:pPr>
        <w:spacing w:after="0" w:line="240" w:lineRule="auto"/>
        <w:rPr>
          <w:rFonts w:hint="eastAsia"/>
        </w:rPr>
      </w:pPr>
      <w:r>
        <w:separator/>
      </w:r>
    </w:p>
  </w:footnote>
  <w:footnote w:type="continuationSeparator" w:id="0">
    <w:p w14:paraId="25907BD7" w14:textId="77777777" w:rsidR="00E70472" w:rsidRDefault="00E70472" w:rsidP="00F023B8">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84A"/>
    <w:rsid w:val="000108F0"/>
    <w:rsid w:val="0005280F"/>
    <w:rsid w:val="000914E5"/>
    <w:rsid w:val="0009199D"/>
    <w:rsid w:val="000C2036"/>
    <w:rsid w:val="000D4F8D"/>
    <w:rsid w:val="000F13A7"/>
    <w:rsid w:val="00102F63"/>
    <w:rsid w:val="001120C3"/>
    <w:rsid w:val="00124E0F"/>
    <w:rsid w:val="0015390B"/>
    <w:rsid w:val="00171F2A"/>
    <w:rsid w:val="001D43B0"/>
    <w:rsid w:val="0020558B"/>
    <w:rsid w:val="0020644B"/>
    <w:rsid w:val="00220B55"/>
    <w:rsid w:val="00231FB9"/>
    <w:rsid w:val="0024215C"/>
    <w:rsid w:val="00245230"/>
    <w:rsid w:val="002D0E85"/>
    <w:rsid w:val="00316D12"/>
    <w:rsid w:val="00335039"/>
    <w:rsid w:val="00364D50"/>
    <w:rsid w:val="00406005"/>
    <w:rsid w:val="00416C6A"/>
    <w:rsid w:val="0042369A"/>
    <w:rsid w:val="00442273"/>
    <w:rsid w:val="00477538"/>
    <w:rsid w:val="00480140"/>
    <w:rsid w:val="004D1677"/>
    <w:rsid w:val="004E7375"/>
    <w:rsid w:val="004E7BF9"/>
    <w:rsid w:val="004F2B50"/>
    <w:rsid w:val="004F6874"/>
    <w:rsid w:val="0052763C"/>
    <w:rsid w:val="00542512"/>
    <w:rsid w:val="00550AAD"/>
    <w:rsid w:val="00563EFD"/>
    <w:rsid w:val="005B23ED"/>
    <w:rsid w:val="005E2BE9"/>
    <w:rsid w:val="00612ADB"/>
    <w:rsid w:val="0063401E"/>
    <w:rsid w:val="0063670D"/>
    <w:rsid w:val="00666A7E"/>
    <w:rsid w:val="00670DF5"/>
    <w:rsid w:val="00672688"/>
    <w:rsid w:val="006C2B56"/>
    <w:rsid w:val="006C6BFA"/>
    <w:rsid w:val="006F4BC7"/>
    <w:rsid w:val="00717FB0"/>
    <w:rsid w:val="00723832"/>
    <w:rsid w:val="00734ED2"/>
    <w:rsid w:val="00746F6F"/>
    <w:rsid w:val="0077600F"/>
    <w:rsid w:val="00796E8B"/>
    <w:rsid w:val="007E43F4"/>
    <w:rsid w:val="00823F8B"/>
    <w:rsid w:val="008B1FAE"/>
    <w:rsid w:val="008B7E8B"/>
    <w:rsid w:val="008E55F6"/>
    <w:rsid w:val="008E5D88"/>
    <w:rsid w:val="008F3754"/>
    <w:rsid w:val="00917A5C"/>
    <w:rsid w:val="009524EA"/>
    <w:rsid w:val="009643E9"/>
    <w:rsid w:val="009D388B"/>
    <w:rsid w:val="009E0A4D"/>
    <w:rsid w:val="009E5B19"/>
    <w:rsid w:val="009F3672"/>
    <w:rsid w:val="00A65E99"/>
    <w:rsid w:val="00AA53EE"/>
    <w:rsid w:val="00AB2035"/>
    <w:rsid w:val="00AB6B3A"/>
    <w:rsid w:val="00AC1855"/>
    <w:rsid w:val="00B25DC2"/>
    <w:rsid w:val="00B6216C"/>
    <w:rsid w:val="00B75D5A"/>
    <w:rsid w:val="00B867FF"/>
    <w:rsid w:val="00B922C6"/>
    <w:rsid w:val="00BA03DA"/>
    <w:rsid w:val="00BA3302"/>
    <w:rsid w:val="00BB38F7"/>
    <w:rsid w:val="00BB75A2"/>
    <w:rsid w:val="00BC3C25"/>
    <w:rsid w:val="00BC5543"/>
    <w:rsid w:val="00BE4CE8"/>
    <w:rsid w:val="00CC17DA"/>
    <w:rsid w:val="00CC40B1"/>
    <w:rsid w:val="00CD06E5"/>
    <w:rsid w:val="00CD4BF5"/>
    <w:rsid w:val="00CE02A4"/>
    <w:rsid w:val="00CE66D4"/>
    <w:rsid w:val="00D023D0"/>
    <w:rsid w:val="00D04E83"/>
    <w:rsid w:val="00D15EB4"/>
    <w:rsid w:val="00D62FB6"/>
    <w:rsid w:val="00D85F40"/>
    <w:rsid w:val="00D97BD0"/>
    <w:rsid w:val="00DC3725"/>
    <w:rsid w:val="00DD13DB"/>
    <w:rsid w:val="00DD2D70"/>
    <w:rsid w:val="00E12638"/>
    <w:rsid w:val="00E17F83"/>
    <w:rsid w:val="00E24D40"/>
    <w:rsid w:val="00E53893"/>
    <w:rsid w:val="00E70472"/>
    <w:rsid w:val="00E81C11"/>
    <w:rsid w:val="00E81D0D"/>
    <w:rsid w:val="00E82193"/>
    <w:rsid w:val="00EE0C8E"/>
    <w:rsid w:val="00EF0C31"/>
    <w:rsid w:val="00EF70CE"/>
    <w:rsid w:val="00F023B8"/>
    <w:rsid w:val="00F16A4F"/>
    <w:rsid w:val="00F33AED"/>
    <w:rsid w:val="00F53114"/>
    <w:rsid w:val="00F63584"/>
    <w:rsid w:val="00F7484A"/>
    <w:rsid w:val="00FB2A08"/>
    <w:rsid w:val="00FC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EE256"/>
  <w15:chartTrackingRefBased/>
  <w15:docId w15:val="{5AD3135D-3793-4301-869C-839CCB197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23B8"/>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023B8"/>
    <w:rPr>
      <w:sz w:val="18"/>
      <w:szCs w:val="18"/>
    </w:rPr>
  </w:style>
  <w:style w:type="paragraph" w:styleId="a5">
    <w:name w:val="footer"/>
    <w:basedOn w:val="a"/>
    <w:link w:val="a6"/>
    <w:uiPriority w:val="99"/>
    <w:unhideWhenUsed/>
    <w:rsid w:val="00F023B8"/>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023B8"/>
    <w:rPr>
      <w:sz w:val="18"/>
      <w:szCs w:val="18"/>
    </w:rPr>
  </w:style>
  <w:style w:type="character" w:styleId="a7">
    <w:name w:val="Hyperlink"/>
    <w:basedOn w:val="a0"/>
    <w:uiPriority w:val="99"/>
    <w:unhideWhenUsed/>
    <w:rsid w:val="0052763C"/>
    <w:rPr>
      <w:color w:val="467886" w:themeColor="hyperlink"/>
      <w:u w:val="single"/>
    </w:rPr>
  </w:style>
  <w:style w:type="character" w:styleId="a8">
    <w:name w:val="Unresolved Mention"/>
    <w:basedOn w:val="a0"/>
    <w:uiPriority w:val="99"/>
    <w:semiHidden/>
    <w:unhideWhenUsed/>
    <w:rsid w:val="0052763C"/>
    <w:rPr>
      <w:color w:val="605E5C"/>
      <w:shd w:val="clear" w:color="auto" w:fill="E1DFDD"/>
    </w:rPr>
  </w:style>
  <w:style w:type="paragraph" w:styleId="a9">
    <w:name w:val="caption"/>
    <w:basedOn w:val="a"/>
    <w:next w:val="a"/>
    <w:uiPriority w:val="35"/>
    <w:unhideWhenUsed/>
    <w:qFormat/>
    <w:rsid w:val="008B1FAE"/>
    <w:rPr>
      <w:rFonts w:asciiTheme="majorHAnsi" w:eastAsia="黑体" w:hAnsiTheme="majorHAnsi" w:cstheme="majorBidi"/>
      <w:sz w:val="20"/>
      <w:szCs w:val="20"/>
    </w:rPr>
  </w:style>
  <w:style w:type="paragraph" w:styleId="aa">
    <w:name w:val="Normal (Web)"/>
    <w:basedOn w:val="a"/>
    <w:uiPriority w:val="99"/>
    <w:semiHidden/>
    <w:unhideWhenUsed/>
    <w:rsid w:val="00B75D5A"/>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40202">
      <w:bodyDiv w:val="1"/>
      <w:marLeft w:val="0"/>
      <w:marRight w:val="0"/>
      <w:marTop w:val="0"/>
      <w:marBottom w:val="0"/>
      <w:divBdr>
        <w:top w:val="none" w:sz="0" w:space="0" w:color="auto"/>
        <w:left w:val="none" w:sz="0" w:space="0" w:color="auto"/>
        <w:bottom w:val="none" w:sz="0" w:space="0" w:color="auto"/>
        <w:right w:val="none" w:sz="0" w:space="0" w:color="auto"/>
      </w:divBdr>
      <w:divsChild>
        <w:div w:id="668211442">
          <w:marLeft w:val="0"/>
          <w:marRight w:val="0"/>
          <w:marTop w:val="0"/>
          <w:marBottom w:val="0"/>
          <w:divBdr>
            <w:top w:val="none" w:sz="0" w:space="0" w:color="auto"/>
            <w:left w:val="none" w:sz="0" w:space="0" w:color="auto"/>
            <w:bottom w:val="none" w:sz="0" w:space="0" w:color="auto"/>
            <w:right w:val="none" w:sz="0" w:space="0" w:color="auto"/>
          </w:divBdr>
          <w:divsChild>
            <w:div w:id="20457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00">
      <w:bodyDiv w:val="1"/>
      <w:marLeft w:val="0"/>
      <w:marRight w:val="0"/>
      <w:marTop w:val="0"/>
      <w:marBottom w:val="0"/>
      <w:divBdr>
        <w:top w:val="none" w:sz="0" w:space="0" w:color="auto"/>
        <w:left w:val="none" w:sz="0" w:space="0" w:color="auto"/>
        <w:bottom w:val="none" w:sz="0" w:space="0" w:color="auto"/>
        <w:right w:val="none" w:sz="0" w:space="0" w:color="auto"/>
      </w:divBdr>
    </w:div>
    <w:div w:id="583101627">
      <w:bodyDiv w:val="1"/>
      <w:marLeft w:val="0"/>
      <w:marRight w:val="0"/>
      <w:marTop w:val="0"/>
      <w:marBottom w:val="0"/>
      <w:divBdr>
        <w:top w:val="none" w:sz="0" w:space="0" w:color="auto"/>
        <w:left w:val="none" w:sz="0" w:space="0" w:color="auto"/>
        <w:bottom w:val="none" w:sz="0" w:space="0" w:color="auto"/>
        <w:right w:val="none" w:sz="0" w:space="0" w:color="auto"/>
      </w:divBdr>
      <w:divsChild>
        <w:div w:id="1371539044">
          <w:marLeft w:val="0"/>
          <w:marRight w:val="0"/>
          <w:marTop w:val="0"/>
          <w:marBottom w:val="0"/>
          <w:divBdr>
            <w:top w:val="none" w:sz="0" w:space="0" w:color="auto"/>
            <w:left w:val="none" w:sz="0" w:space="0" w:color="auto"/>
            <w:bottom w:val="none" w:sz="0" w:space="0" w:color="auto"/>
            <w:right w:val="none" w:sz="0" w:space="0" w:color="auto"/>
          </w:divBdr>
          <w:divsChild>
            <w:div w:id="21006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846">
      <w:bodyDiv w:val="1"/>
      <w:marLeft w:val="0"/>
      <w:marRight w:val="0"/>
      <w:marTop w:val="0"/>
      <w:marBottom w:val="0"/>
      <w:divBdr>
        <w:top w:val="none" w:sz="0" w:space="0" w:color="auto"/>
        <w:left w:val="none" w:sz="0" w:space="0" w:color="auto"/>
        <w:bottom w:val="none" w:sz="0" w:space="0" w:color="auto"/>
        <w:right w:val="none" w:sz="0" w:space="0" w:color="auto"/>
      </w:divBdr>
    </w:div>
    <w:div w:id="662320370">
      <w:bodyDiv w:val="1"/>
      <w:marLeft w:val="0"/>
      <w:marRight w:val="0"/>
      <w:marTop w:val="0"/>
      <w:marBottom w:val="0"/>
      <w:divBdr>
        <w:top w:val="none" w:sz="0" w:space="0" w:color="auto"/>
        <w:left w:val="none" w:sz="0" w:space="0" w:color="auto"/>
        <w:bottom w:val="none" w:sz="0" w:space="0" w:color="auto"/>
        <w:right w:val="none" w:sz="0" w:space="0" w:color="auto"/>
      </w:divBdr>
    </w:div>
    <w:div w:id="667252785">
      <w:bodyDiv w:val="1"/>
      <w:marLeft w:val="0"/>
      <w:marRight w:val="0"/>
      <w:marTop w:val="0"/>
      <w:marBottom w:val="0"/>
      <w:divBdr>
        <w:top w:val="none" w:sz="0" w:space="0" w:color="auto"/>
        <w:left w:val="none" w:sz="0" w:space="0" w:color="auto"/>
        <w:bottom w:val="none" w:sz="0" w:space="0" w:color="auto"/>
        <w:right w:val="none" w:sz="0" w:space="0" w:color="auto"/>
      </w:divBdr>
    </w:div>
    <w:div w:id="700278078">
      <w:bodyDiv w:val="1"/>
      <w:marLeft w:val="0"/>
      <w:marRight w:val="0"/>
      <w:marTop w:val="0"/>
      <w:marBottom w:val="0"/>
      <w:divBdr>
        <w:top w:val="none" w:sz="0" w:space="0" w:color="auto"/>
        <w:left w:val="none" w:sz="0" w:space="0" w:color="auto"/>
        <w:bottom w:val="none" w:sz="0" w:space="0" w:color="auto"/>
        <w:right w:val="none" w:sz="0" w:space="0" w:color="auto"/>
      </w:divBdr>
    </w:div>
    <w:div w:id="743067936">
      <w:bodyDiv w:val="1"/>
      <w:marLeft w:val="0"/>
      <w:marRight w:val="0"/>
      <w:marTop w:val="0"/>
      <w:marBottom w:val="0"/>
      <w:divBdr>
        <w:top w:val="none" w:sz="0" w:space="0" w:color="auto"/>
        <w:left w:val="none" w:sz="0" w:space="0" w:color="auto"/>
        <w:bottom w:val="none" w:sz="0" w:space="0" w:color="auto"/>
        <w:right w:val="none" w:sz="0" w:space="0" w:color="auto"/>
      </w:divBdr>
    </w:div>
    <w:div w:id="822624398">
      <w:bodyDiv w:val="1"/>
      <w:marLeft w:val="0"/>
      <w:marRight w:val="0"/>
      <w:marTop w:val="0"/>
      <w:marBottom w:val="0"/>
      <w:divBdr>
        <w:top w:val="none" w:sz="0" w:space="0" w:color="auto"/>
        <w:left w:val="none" w:sz="0" w:space="0" w:color="auto"/>
        <w:bottom w:val="none" w:sz="0" w:space="0" w:color="auto"/>
        <w:right w:val="none" w:sz="0" w:space="0" w:color="auto"/>
      </w:divBdr>
      <w:divsChild>
        <w:div w:id="539560128">
          <w:marLeft w:val="0"/>
          <w:marRight w:val="0"/>
          <w:marTop w:val="0"/>
          <w:marBottom w:val="0"/>
          <w:divBdr>
            <w:top w:val="none" w:sz="0" w:space="0" w:color="auto"/>
            <w:left w:val="none" w:sz="0" w:space="0" w:color="auto"/>
            <w:bottom w:val="none" w:sz="0" w:space="0" w:color="auto"/>
            <w:right w:val="none" w:sz="0" w:space="0" w:color="auto"/>
          </w:divBdr>
          <w:divsChild>
            <w:div w:id="12742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319">
      <w:bodyDiv w:val="1"/>
      <w:marLeft w:val="0"/>
      <w:marRight w:val="0"/>
      <w:marTop w:val="0"/>
      <w:marBottom w:val="0"/>
      <w:divBdr>
        <w:top w:val="none" w:sz="0" w:space="0" w:color="auto"/>
        <w:left w:val="none" w:sz="0" w:space="0" w:color="auto"/>
        <w:bottom w:val="none" w:sz="0" w:space="0" w:color="auto"/>
        <w:right w:val="none" w:sz="0" w:space="0" w:color="auto"/>
      </w:divBdr>
    </w:div>
    <w:div w:id="1499072405">
      <w:bodyDiv w:val="1"/>
      <w:marLeft w:val="0"/>
      <w:marRight w:val="0"/>
      <w:marTop w:val="0"/>
      <w:marBottom w:val="0"/>
      <w:divBdr>
        <w:top w:val="none" w:sz="0" w:space="0" w:color="auto"/>
        <w:left w:val="none" w:sz="0" w:space="0" w:color="auto"/>
        <w:bottom w:val="none" w:sz="0" w:space="0" w:color="auto"/>
        <w:right w:val="none" w:sz="0" w:space="0" w:color="auto"/>
      </w:divBdr>
      <w:divsChild>
        <w:div w:id="252280416">
          <w:marLeft w:val="0"/>
          <w:marRight w:val="0"/>
          <w:marTop w:val="0"/>
          <w:marBottom w:val="0"/>
          <w:divBdr>
            <w:top w:val="none" w:sz="0" w:space="0" w:color="auto"/>
            <w:left w:val="none" w:sz="0" w:space="0" w:color="auto"/>
            <w:bottom w:val="none" w:sz="0" w:space="0" w:color="auto"/>
            <w:right w:val="none" w:sz="0" w:space="0" w:color="auto"/>
          </w:divBdr>
          <w:divsChild>
            <w:div w:id="208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0">
      <w:bodyDiv w:val="1"/>
      <w:marLeft w:val="0"/>
      <w:marRight w:val="0"/>
      <w:marTop w:val="0"/>
      <w:marBottom w:val="0"/>
      <w:divBdr>
        <w:top w:val="none" w:sz="0" w:space="0" w:color="auto"/>
        <w:left w:val="none" w:sz="0" w:space="0" w:color="auto"/>
        <w:bottom w:val="none" w:sz="0" w:space="0" w:color="auto"/>
        <w:right w:val="none" w:sz="0" w:space="0" w:color="auto"/>
      </w:divBdr>
    </w:div>
    <w:div w:id="1981576114">
      <w:bodyDiv w:val="1"/>
      <w:marLeft w:val="0"/>
      <w:marRight w:val="0"/>
      <w:marTop w:val="0"/>
      <w:marBottom w:val="0"/>
      <w:divBdr>
        <w:top w:val="none" w:sz="0" w:space="0" w:color="auto"/>
        <w:left w:val="none" w:sz="0" w:space="0" w:color="auto"/>
        <w:bottom w:val="none" w:sz="0" w:space="0" w:color="auto"/>
        <w:right w:val="none" w:sz="0" w:space="0" w:color="auto"/>
      </w:divBdr>
    </w:div>
    <w:div w:id="2064794478">
      <w:bodyDiv w:val="1"/>
      <w:marLeft w:val="0"/>
      <w:marRight w:val="0"/>
      <w:marTop w:val="0"/>
      <w:marBottom w:val="0"/>
      <w:divBdr>
        <w:top w:val="none" w:sz="0" w:space="0" w:color="auto"/>
        <w:left w:val="none" w:sz="0" w:space="0" w:color="auto"/>
        <w:bottom w:val="none" w:sz="0" w:space="0" w:color="auto"/>
        <w:right w:val="none" w:sz="0" w:space="0" w:color="auto"/>
      </w:divBdr>
    </w:div>
    <w:div w:id="21438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3</Pages>
  <Words>762</Words>
  <Characters>4350</Characters>
  <Application>Microsoft Office Word</Application>
  <DocSecurity>0</DocSecurity>
  <Lines>36</Lines>
  <Paragraphs>10</Paragraphs>
  <ScaleCrop>false</ScaleCrop>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Mengfei Li</dc:creator>
  <cp:keywords/>
  <dc:description/>
  <cp:lastModifiedBy>Mengfei Li</cp:lastModifiedBy>
  <cp:revision>111</cp:revision>
  <dcterms:created xsi:type="dcterms:W3CDTF">2024-12-12T08:28:00Z</dcterms:created>
  <dcterms:modified xsi:type="dcterms:W3CDTF">2024-12-16T04:50:00Z</dcterms:modified>
</cp:coreProperties>
</file>