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D02" w:rsidRPr="00FB4D02" w:rsidRDefault="00FB4D02" w:rsidP="00FB4D02">
      <w:pPr>
        <w:adjustRightInd w:val="0"/>
        <w:snapToGrid w:val="0"/>
        <w:spacing w:line="440" w:lineRule="exact"/>
        <w:jc w:val="center"/>
        <w:rPr>
          <w:b/>
          <w:sz w:val="24"/>
          <w:highlight w:val="yellow"/>
        </w:rPr>
      </w:pPr>
      <w:r/>
    </w:p>
    <w:sdt>
      <w:sdtPr>
        <w:rPr>
          <w:rFonts w:ascii="Times New Roman" w:eastAsia="宋体" w:hAnsi="Times New Roman" w:cs="Times New Roman"/>
          <w:color w:val="auto"/>
          <w:kern w:val="2"/>
          <w:sz w:val="21"/>
          <w:szCs w:val="24"/>
          <w:lang w:val="zh-CN"/>
        </w:rPr>
        <w:id w:val="2046253945"/>
        <w:docPartObj>
          <w:docPartGallery w:val="Table of Contents"/>
          <w:docPartUnique/>
        </w:docPartObj>
      </w:sdtPr>
      <w:sdtEndPr>
        <w:rPr>
          <w:bCs/>
          <w:color w:val="000000" w:themeColor="text1"/>
          <w:sz w:val="24"/>
        </w:rPr>
      </w:sdtEndPr>
      <w:sdtContent>
        <w:p w:rsidR="00FB4D02" w:rsidRPr="00FB4D02" w:rsidRDefault="00FB4D02" w:rsidP="00FB4D02">
          <w:pPr>
            <w:pStyle w:val="TOC"/>
            <w:spacing w:before="0" w:line="440" w:lineRule="exact"/>
            <w:jc w:val="center"/>
            <w:rPr>
              <w:rFonts w:ascii="Times New Roman" w:eastAsia="宋体" w:hAnsi="Times New Roman"/>
              <w:b/>
              <w:color w:val="000000" w:themeColor="text1"/>
              <w:sz w:val="24"/>
              <w:lang w:val="zh-CN"/>
            </w:rPr>
          </w:pPr>
          <w:r w:rsidRPr="00FB4D02">
            <w:rPr>
              <w:rFonts w:ascii="Times New Roman" w:eastAsia="宋体" w:hAnsi="Times New Roman"/>
              <w:b/>
              <w:color w:val="000000" w:themeColor="text1"/>
              <w:sz w:val="24"/>
              <w:lang w:val="zh-CN"/>
            </w:rPr>
            <w:t>目录</w:t>
          </w:r>
        </w:p>
        <w:p w:rsidR="00FB4D02" w:rsidRPr="00FB4D02" w:rsidRDefault="00FB4D02" w:rsidP="00FB4D02">
          <w:pPr>
            <w:spacing w:line="440" w:lineRule="exact"/>
            <w:jc w:val="center"/>
            <w:rPr>
              <w:sz w:val="24"/>
              <w:lang w:val="zh-CN"/>
            </w:rPr>
          </w:pPr>
        </w:p>
        <w:p w:rsidR="00FB4D02" w:rsidRPr="00444058" w:rsidRDefault="00FB4D02" w:rsidP="00444058">
          <w:pPr>
            <w:pStyle w:val="10"/>
            <w:rPr>
              <w:rFonts w:cstheme="minorBidi"/>
              <w:kern w:val="2"/>
            </w:rPr>
          </w:pPr>
          <w:r w:rsidRPr="00FB4D02">
            <w:rPr>
              <w:sz w:val="30"/>
              <w:szCs w:val="30"/>
            </w:rPr>
            <w:fldChar w:fldCharType="begin"/>
          </w:r>
          <w:r w:rsidRPr="00FB4D02">
            <w:instrText xml:space="preserve"> TOC \o "1-3" \h \z \u </w:instrText>
          </w:r>
          <w:r w:rsidRPr="00FB4D02">
            <w:rPr>
              <w:sz w:val="30"/>
              <w:szCs w:val="30"/>
            </w:rPr>
            <w:fldChar w:fldCharType="separate"/>
          </w:r>
          <w:hyperlink w:anchor="_Toc101777005" w:history="1">
            <w:r w:rsidRPr="00444058">
              <w:rPr>
                <w:rStyle w:val="a8"/>
                <w:color w:val="000000" w:themeColor="text1"/>
              </w:rPr>
              <w:t xml:space="preserve">2.6.1 </w:t>
            </w:r>
            <w:r w:rsidRPr="00444058">
              <w:rPr>
                <w:rStyle w:val="a8"/>
                <w:rFonts w:hint="eastAsia"/>
                <w:color w:val="000000" w:themeColor="text1"/>
              </w:rPr>
              <w:t>前言</w:t>
            </w:r>
            <w:r w:rsidRPr="00444058">
              <w:rPr>
                <w:webHidden/>
              </w:rPr>
              <w:tab/>
            </w:r>
            <w:r w:rsidRPr="00444058">
              <w:rPr>
                <w:webHidden/>
              </w:rPr>
              <w:fldChar w:fldCharType="begin"/>
            </w:r>
            <w:r w:rsidRPr="00444058">
              <w:rPr>
                <w:webHidden/>
              </w:rPr>
              <w:instrText xml:space="preserve"> PAGEREF _Toc101777005 \h </w:instrText>
            </w:r>
            <w:r w:rsidRPr="00444058">
              <w:rPr>
                <w:webHidden/>
              </w:rPr>
            </w:r>
            <w:r w:rsidRPr="00444058">
              <w:rPr>
                <w:webHidden/>
              </w:rPr>
              <w:fldChar w:fldCharType="separate"/>
            </w:r>
            <w:r w:rsidR="00E76BC5">
              <w:rPr>
                <w:webHidden/>
              </w:rPr>
              <w:t>3</w:t>
            </w:r>
            <w:r w:rsidRPr="00444058">
              <w:rPr>
                <w:webHidden/>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06" w:history="1">
            <w:r w:rsidR="00FB4D02" w:rsidRPr="00FB4D02">
              <w:rPr>
                <w:rStyle w:val="a8"/>
                <w:noProof/>
                <w:color w:val="000000" w:themeColor="text1"/>
                <w:sz w:val="24"/>
              </w:rPr>
              <w:t xml:space="preserve">2.6.1.1 </w:t>
            </w:r>
            <w:r w:rsidR="00FB4D02" w:rsidRPr="00FB4D02">
              <w:rPr>
                <w:rStyle w:val="a8"/>
                <w:rFonts w:hint="eastAsia"/>
                <w:noProof/>
                <w:color w:val="000000" w:themeColor="text1"/>
                <w:sz w:val="24"/>
              </w:rPr>
              <w:t>药品名称</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_Toc101777006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7</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07" w:history="1">
            <w:r w:rsidR="00FB4D02" w:rsidRPr="00FB4D02">
              <w:rPr>
                <w:rStyle w:val="a8"/>
                <w:noProof/>
                <w:color w:val="000000" w:themeColor="text1"/>
                <w:sz w:val="24"/>
              </w:rPr>
              <w:t xml:space="preserve">2.6.1.2 </w:t>
            </w:r>
            <w:r w:rsidR="00FB4D02" w:rsidRPr="00FB4D02">
              <w:rPr>
                <w:rStyle w:val="a8"/>
                <w:rFonts w:hint="eastAsia"/>
                <w:noProof/>
                <w:color w:val="000000" w:themeColor="text1"/>
                <w:sz w:val="24"/>
              </w:rPr>
              <w:t>分子结构、分子量</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_Toc101777007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7</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08" w:history="1">
            <w:r w:rsidR="00FB4D02" w:rsidRPr="00FB4D02">
              <w:rPr>
                <w:rStyle w:val="a8"/>
                <w:noProof/>
                <w:color w:val="000000" w:themeColor="text1"/>
                <w:sz w:val="24"/>
              </w:rPr>
              <w:t xml:space="preserve">2.6.1.3 </w:t>
            </w:r>
            <w:r w:rsidR="00FB4D02" w:rsidRPr="00FB4D02">
              <w:rPr>
                <w:rStyle w:val="a8"/>
                <w:rFonts w:hint="eastAsia"/>
                <w:noProof/>
                <w:color w:val="000000" w:themeColor="text1"/>
                <w:sz w:val="24"/>
              </w:rPr>
              <w:t>制剂的剂型、规格及给药途径</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_Toc101777008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7</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09" w:history="1">
            <w:r w:rsidR="00FB4D02" w:rsidRPr="00FB4D02">
              <w:rPr>
                <w:rStyle w:val="a8"/>
                <w:noProof/>
                <w:color w:val="000000" w:themeColor="text1"/>
                <w:sz w:val="24"/>
              </w:rPr>
              <w:t xml:space="preserve">2.6.1.4 </w:t>
            </w:r>
            <w:r w:rsidR="00FB4D02" w:rsidRPr="00FB4D02">
              <w:rPr>
                <w:rStyle w:val="a8"/>
                <w:rFonts w:hint="eastAsia"/>
                <w:noProof/>
                <w:color w:val="000000" w:themeColor="text1"/>
                <w:sz w:val="24"/>
              </w:rPr>
              <w:t>适应症</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_Toc101777009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7</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10" w:history="1">
            <w:r w:rsidR="00FB4D02" w:rsidRPr="00FB4D02">
              <w:rPr>
                <w:rStyle w:val="a8"/>
                <w:noProof/>
                <w:color w:val="000000" w:themeColor="text1"/>
                <w:sz w:val="24"/>
              </w:rPr>
              <w:t xml:space="preserve">2.6.1.5 </w:t>
            </w:r>
            <w:r w:rsidR="00FB4D02" w:rsidRPr="00FB4D02">
              <w:rPr>
                <w:rStyle w:val="a8"/>
                <w:rFonts w:hint="eastAsia"/>
                <w:noProof/>
                <w:color w:val="000000" w:themeColor="text1"/>
                <w:sz w:val="24"/>
              </w:rPr>
              <w:t>药物的药理作用及作用机制</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_Toc101777010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7</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11" w:history="1">
            <w:r w:rsidR="00FB4D02" w:rsidRPr="00FB4D02">
              <w:rPr>
                <w:rStyle w:val="a8"/>
                <w:noProof/>
                <w:color w:val="000000" w:themeColor="text1"/>
                <w:sz w:val="24"/>
              </w:rPr>
              <w:t xml:space="preserve">2.6.1.6 </w:t>
            </w:r>
            <w:r w:rsidR="00FB4D02" w:rsidRPr="00FB4D02">
              <w:rPr>
                <w:rStyle w:val="a8"/>
                <w:rFonts w:hint="eastAsia"/>
                <w:noProof/>
                <w:color w:val="000000" w:themeColor="text1"/>
                <w:sz w:val="24"/>
              </w:rPr>
              <w:t>注册分类及注册阶段</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_Toc101777011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8</w:t>
            </w:r>
            <w:r w:rsidR="00FB4D02" w:rsidRPr="00FB4D02">
              <w:rPr>
                <w:noProof/>
                <w:webHidden/>
                <w:color w:val="000000" w:themeColor="text1"/>
                <w:sz w:val="24"/>
              </w:rPr>
              <w:fldChar w:fldCharType="end"/>
            </w:r>
          </w:hyperlink>
        </w:p>
        <w:p w:rsidR="00FB4D02" w:rsidRPr="00FB4D02" w:rsidRDefault="005A06F8" w:rsidP="00FB4D02">
          <w:pPr>
            <w:pStyle w:val="20"/>
            <w:tabs>
              <w:tab w:val="right" w:leader="dot" w:pos="9061"/>
            </w:tabs>
            <w:spacing w:line="440" w:lineRule="exact"/>
            <w:rPr>
              <w:rFonts w:cstheme="minorBidi"/>
              <w:noProof/>
              <w:color w:val="000000" w:themeColor="text1"/>
              <w:sz w:val="24"/>
              <w:szCs w:val="22"/>
            </w:rPr>
          </w:pPr>
          <w:hyperlink w:anchor="_Toc101777012" w:history="1">
            <w:r w:rsidR="00FB4D02" w:rsidRPr="00FB4D02">
              <w:rPr>
                <w:rStyle w:val="a8"/>
                <w:noProof/>
                <w:color w:val="000000" w:themeColor="text1"/>
                <w:sz w:val="24"/>
              </w:rPr>
              <w:t xml:space="preserve">2.6.1.7 </w:t>
            </w:r>
            <w:r w:rsidR="00FB4D02" w:rsidRPr="00FB4D02">
              <w:rPr>
                <w:rStyle w:val="a8"/>
                <w:rFonts w:hint="eastAsia"/>
                <w:noProof/>
                <w:color w:val="000000" w:themeColor="text1"/>
                <w:sz w:val="24"/>
              </w:rPr>
              <w:t>参考文献</w:t>
            </w:r>
            <w:r w:rsidR="00FB4D02" w:rsidRPr="00FB4D02">
              <w:rPr>
                <w:noProof/>
                <w:webHidden/>
                <w:color w:val="000000" w:themeColor="text1"/>
                <w:sz w:val="24"/>
              </w:rPr>
              <w:tab/>
            </w:r>
            <w:r w:rsidR="00FB4D02" w:rsidRPr="00FB4D02">
              <w:rPr>
                <w:noProof/>
                <w:webHidden/>
                <w:color w:val="000000" w:themeColor="text1"/>
                <w:sz w:val="24"/>
              </w:rPr>
              <w:fldChar w:fldCharType="begin"/>
            </w:r>
            <w:r w:rsidR="00FB4D02" w:rsidRPr="00FB4D02">
              <w:rPr>
                <w:noProof/>
                <w:webHidden/>
                <w:color w:val="000000" w:themeColor="text1"/>
                <w:sz w:val="24"/>
              </w:rPr>
              <w:instrText xml:space="preserve"> PAGEREF _Toc101777012 \h </w:instrText>
            </w:r>
            <w:r w:rsidR="00FB4D02" w:rsidRPr="00FB4D02">
              <w:rPr>
                <w:noProof/>
                <w:webHidden/>
                <w:color w:val="000000" w:themeColor="text1"/>
                <w:sz w:val="24"/>
              </w:rPr>
            </w:r>
            <w:r w:rsidR="00FB4D02" w:rsidRPr="00FB4D02">
              <w:rPr>
                <w:noProof/>
                <w:webHidden/>
                <w:color w:val="000000" w:themeColor="text1"/>
                <w:sz w:val="24"/>
              </w:rPr>
              <w:fldChar w:fldCharType="separate"/>
            </w:r>
            <w:r w:rsidR="00E76BC5">
              <w:rPr>
                <w:noProof/>
                <w:webHidden/>
                <w:color w:val="000000" w:themeColor="text1"/>
                <w:sz w:val="24"/>
              </w:rPr>
              <w:t>9</w:t>
            </w:r>
            <w:r w:rsidR="00FB4D02" w:rsidRPr="00FB4D02">
              <w:rPr>
                <w:noProof/>
                <w:webHidden/>
                <w:color w:val="000000" w:themeColor="text1"/>
                <w:sz w:val="24"/>
              </w:rPr>
              <w:fldChar w:fldCharType="end"/>
            </w:r>
          </w:hyperlink>
        </w:p>
        <w:p w:rsidR="00FB4D02" w:rsidRPr="00FB4D02" w:rsidRDefault="00FB4D02" w:rsidP="00FB4D02">
          <w:pPr>
            <w:spacing w:line="440" w:lineRule="exact"/>
            <w:rPr>
              <w:color w:val="000000" w:themeColor="text1"/>
              <w:sz w:val="24"/>
            </w:rPr>
          </w:pPr>
          <w:r w:rsidRPr="00FB4D02">
            <w:rPr>
              <w:bCs/>
              <w:color w:val="000000" w:themeColor="text1"/>
              <w:sz w:val="24"/>
              <w:lang w:val="zh-CN"/>
            </w:rPr>
            <w:fldChar w:fldCharType="end"/>
          </w:r>
        </w:p>
      </w:sdtContent>
    </w:sdt>
    <w:p w:rsidR="00751E06" w:rsidRDefault="00751E06">
      <w:pPr>
        <w:widowControl/>
        <w:jc w:val="left"/>
        <w:rPr>
          <w:b/>
          <w:sz w:val="24"/>
        </w:rPr>
      </w:pPr>
      <w:r/>
    </w:p>
    <w:p w:rsidR="00FB4D02" w:rsidRPr="00FB4D02" w:rsidRDefault="00FB4D02" w:rsidP="00FB4D02">
      <w:pPr>
        <w:adjustRightInd w:val="0"/>
        <w:snapToGrid w:val="0"/>
        <w:spacing w:line="440" w:lineRule="exact"/>
        <w:jc w:val="center"/>
        <w:rPr>
          <w:b/>
          <w:sz w:val="24"/>
        </w:rPr>
      </w:pPr>
      <w:r/>
    </w:p>
    <w:p w:rsidR="00FB4D02" w:rsidRPr="00FB4D02" w:rsidRDefault="00FB4D02" w:rsidP="00FB4D02">
      <w:pPr>
        <w:adjustRightInd w:val="0"/>
        <w:snapToGrid w:val="0"/>
        <w:spacing w:line="440" w:lineRule="exact"/>
        <w:jc w:val="center"/>
        <w:rPr>
          <w:b/>
          <w:sz w:val="24"/>
        </w:rPr>
      </w:pPr>
      <w:r>
        <w:t>表目录</w:t>
      </w:r>
    </w:p>
    <w:p w:rsidR="00FB4D02" w:rsidRDefault="00FB4D02" w:rsidP="00FB4D02">
      <w:pPr>
        <w:adjustRightInd w:val="0"/>
        <w:snapToGrid w:val="0"/>
        <w:spacing w:line="440" w:lineRule="exact"/>
        <w:jc w:val="center"/>
        <w:rPr>
          <w:b/>
          <w:sz w:val="24"/>
        </w:rPr>
      </w:pPr>
      <w:r/>
    </w:p>
    <w:p w:rsidR="009C54CD" w:rsidRPr="009C54CD" w:rsidRDefault="003D4070">
      <w:pPr>
        <w:pStyle w:val="ab"/>
        <w:tabs>
          <w:tab w:val="right" w:leader="dot" w:pos="9061"/>
        </w:tabs>
        <w:ind w:left="900" w:hanging="480"/>
        <w:rPr>
          <w:rFonts w:eastAsiaTheme="minorEastAsia"/>
          <w:noProof/>
          <w:sz w:val="24"/>
        </w:rPr>
      </w:pPr>
      <w:r>
        <w:t>表1- 1 国内外ENPP1抑制剂研究进展</w:t>
        <w:tab/>
        <w:t>6</w:t>
      </w:r>
    </w:p>
    <w:p w:rsidR="003D4070" w:rsidRPr="009C54CD" w:rsidRDefault="003D4070" w:rsidP="00FB4D02">
      <w:pPr>
        <w:adjustRightInd w:val="0"/>
        <w:snapToGrid w:val="0"/>
        <w:spacing w:line="440" w:lineRule="exact"/>
        <w:jc w:val="center"/>
        <w:rPr>
          <w:rFonts w:eastAsiaTheme="minorEastAsia"/>
          <w:sz w:val="24"/>
        </w:rPr>
      </w:pPr>
      <w:r/>
    </w:p>
    <w:p w:rsidR="000B6DF3" w:rsidRPr="005311F0" w:rsidRDefault="000B6DF3" w:rsidP="000B6DF3">
      <w:pPr>
        <w:spacing w:line="440" w:lineRule="exact"/>
        <w:rPr>
          <w:sz w:val="24"/>
          <w:highlight w:val="yellow"/>
        </w:rPr>
      </w:pPr>
      <w:r/>
    </w:p>
    <w:p w:rsidR="000B6DF3" w:rsidRPr="00FB4D02" w:rsidRDefault="000B6DF3">
      <w:pPr>
        <w:widowControl/>
        <w:jc w:val="left"/>
        <w:rPr>
          <w:b/>
          <w:bCs/>
          <w:noProof/>
          <w:kern w:val="0"/>
          <w:sz w:val="32"/>
          <w:szCs w:val="21"/>
        </w:rPr>
      </w:pPr>
      <w:r/>
    </w:p>
    <w:p w:rsidR="00427472" w:rsidRPr="00545C89" w:rsidRDefault="00C247E9" w:rsidP="00444058">
      <w:pPr>
        <w:pStyle w:val="10"/>
      </w:pPr>
      <w:r>
        <w:t>2.6.1 前言</w:t>
      </w:r>
    </w:p>
    <w:p w:rsidR="00515837" w:rsidRPr="005438DF" w:rsidRDefault="00515837" w:rsidP="005F5993">
      <w:pPr>
        <w:spacing w:line="360" w:lineRule="auto"/>
        <w:ind w:firstLineChars="200" w:firstLine="480"/>
        <w:rPr>
          <w:rFonts w:eastAsiaTheme="minorEastAsia"/>
          <w:kern w:val="0"/>
          <w:sz w:val="24"/>
        </w:rPr>
      </w:pPr>
      <w:r>
        <w:t>ENPP1 (Ectonucleotide Pyrophosphatase/Phosphodiesterase 1)属于外核苷酸焦磷酸酶/磷酸二酯酶（ENPP）家族成员，该家族由7个成员（ENPP1-7）组成，参与了关键的生物学和病理生理过程，包括核苷酸和磷脂信号传导、骨矿化、纤维化疾病和肿瘤相关免疫细胞浸润。ENPPs 家族成员中，除了ENPP2（自身轴蛋白）和ENNP6，其余均是单次跨膜胞外酶。所有ENPP成员均包含一个同源的催化核心，即磷酸二酯酶（PDE）结构域。根据其底物的性质、细胞外定位和发现时间对其进行分组和命名。从进化的角度来看，家族成员分为两个亚群，ENPP1-3和ENPP4-7，这也反映了它们不同的的结构和结构域构成[1]。ENPP家族成员通过对不同底物的偏好识别，以及他们的组织特异性表达水平，发挥不同的生理功能。在7个家族成员中， ENPP1和ENPP2是被研究功能最多的两个家族成员。</w:t>
      </w:r>
    </w:p>
    <w:p w:rsidR="00515837" w:rsidRDefault="00515837" w:rsidP="005F5993">
      <w:pPr>
        <w:spacing w:line="360" w:lineRule="auto"/>
        <w:ind w:firstLineChars="200" w:firstLine="480"/>
        <w:rPr>
          <w:rFonts w:eastAsiaTheme="minorEastAsia"/>
          <w:kern w:val="0"/>
          <w:sz w:val="24"/>
        </w:rPr>
      </w:pPr>
      <w:r>
        <w:t>ENPP1在50年前被发现，曾被称为浆细胞膜糖蛋白（PC1），它水解ATP产生AMP和无机焦磷酸（PPi），通过调节Pi-PPi平衡，在调节骨矿化和组织钙化过程中发挥重要作用。它同样水解cGAMP，负调控先天免疫系统中的cGAS-STING通路，与免疫细胞浸润密切相关，在癌症发生中发挥重要作用。也有研究表明ENPP1表达减少与动脉粥样硬化斑块中的钙化相关，并与科尔病有关[1]。</w:t>
      </w:r>
    </w:p>
    <w:p w:rsidR="007E692B" w:rsidRPr="007E692B" w:rsidRDefault="007E692B" w:rsidP="007E692B">
      <w:pPr>
        <w:spacing w:line="440" w:lineRule="exact"/>
        <w:ind w:firstLineChars="200" w:firstLine="480"/>
        <w:rPr>
          <w:kern w:val="0"/>
          <w:sz w:val="24"/>
        </w:rPr>
      </w:pPr>
      <w:r>
        <w:t>根据2022年发表在Nature的单细胞测序数据分析研究发现，ENPP1在梗死的人类心脏组织的非肌细胞群中表达[2]。2022年另外一篇Nature的单细胞核测序数据研究发现，心肌病患者的终末期心脏肌成纤维细胞中ENPP1表达[2]。</w:t>
      </w:r>
    </w:p>
    <w:bookmarkEnd w:id="5"/>
    <w:p w:rsidR="007E692B" w:rsidRDefault="007E692B" w:rsidP="007E692B">
      <w:pPr>
        <w:spacing w:line="440" w:lineRule="exact"/>
        <w:ind w:firstLineChars="200" w:firstLine="480"/>
        <w:rPr>
          <w:kern w:val="0"/>
          <w:sz w:val="24"/>
        </w:rPr>
      </w:pPr>
      <w:r>
        <w:t xml:space="preserve">最新机制研究表明，ENPP1在心脏损伤后修复中发挥重要作用。一方面，心脏损伤诱导损伤区域ENPP1的特异性且持续的高表达，该酶可特异性水解细胞外ATP产生AMP。作为对AMP的反应，心肌细胞释放腺嘌呤和特异性核糖核酸，在一磷酸乳清蛋白（OMP）合成步骤破坏嘧啶生物合成，并诱导DNA损伤和p53介导的循环非肌细胞的细胞死亡。由于非心肌细胞对心脏修复至关重要，研究发现通过靶向ENPP1/AMP途径来拯救嘧啶生物合成，可以增强心脏损伤后的修复和梗死后的心脏功能[3]。小鼠心梗致心衰模型体内研究发现，ENPP1基因敲除会促进心脏伤口愈合，改善心室功能，降低心肌纤维化程度和心脏肥大。同时对100个不同遗传背景的近交小鼠品系，由异丙肾上腺素诱导的心肌损伤模型中发现，ENPP1的表达量与不良心脏损伤发展显著相关，如左心室肥大、心室大小增加、心脏收缩力下降和心脏纤维化程度[3]。另一方面，ENPP1是一种在损伤后诱导并调节骨矿化的酶，其在损伤后钙化的心脏成纤维细胞中高表达。给予抑制ENPP1的小分子抑制剂可显著减少异位心脏钙化并保护损伤后的心脏功能[4]。 </w:t>
      </w:r>
    </w:p>
    <w:p w:rsidR="007E692B" w:rsidRDefault="007E692B" w:rsidP="007E692B">
      <w:pPr>
        <w:spacing w:line="440" w:lineRule="exact"/>
        <w:ind w:firstLine="420"/>
        <w:rPr>
          <w:kern w:val="0"/>
          <w:sz w:val="24"/>
        </w:rPr>
      </w:pPr>
      <w:r>
        <w:t>2024年10月美国加州大学洛杉矶分校最新发表的文章研究表明，靶向外核苷酸酶ENPP1的人源化单克隆抗体可挽救心肌梗死后的心脏代谢和心脏功能。心肌梗死（Myocardial infarction, MI）会导致心脏代谢异常，在表达人ENPP1的小鼠中，全身施用人源hENPP1mAb会代谢地重新编程肌细胞和非肌细胞，从而通过代谢组学、单核转录组学和细胞呼吸，诱导心脏的全器官代谢和转录重编程，从而增强心肌细胞呼吸，减少梗死心脏的细胞死亡和纤维化，而且心肌梗死后单次给与hENPP1mAb就足以挽救心脏功能障碍[2]。综上，ENPP1-AMP轴相关的代谢通路和ENPP1-PPi-Pi轴相关的病理钙化是治疗心脏损伤病理状况的潜在药理学靶点。</w:t>
      </w:r>
    </w:p>
    <w:p w:rsidR="00481FEE" w:rsidRPr="00481FEE" w:rsidRDefault="00481FEE" w:rsidP="00481FEE">
      <w:pPr>
        <w:spacing w:line="440" w:lineRule="exact"/>
        <w:ind w:firstLine="420"/>
        <w:rPr>
          <w:kern w:val="0"/>
          <w:sz w:val="24"/>
        </w:rPr>
      </w:pPr>
      <w:r>
        <w:t>靶向ENPP1的治疗方法，可能成为第一种直接增强心脏病发作后心脏组织修复的方法，相较于目前侧重于预防进一步损伤但不积极促进愈合的疗法，这是ENPP1抑制剂的一个优势。这归因于ENPP1抑制剂针对细胞串扰的设计方式，使心脏中的多种细胞类型受益，包括心肌细胞、形成血管的内皮细胞和成纤维细胞[2]，可以在发生心梗后关键的最初几天进行自我修复。ENPP1在治疗急性心梗心衰适应症领域是First in class抑制剂，作为急性心梗心衰相关靶点的药物开发具有巨大的潜力。开发选择性ENPP1抑制剂，挽救心肌梗死后的心脏功能障碍，有望为心梗后心衰治疗提供更多的治疗策略，对于推动我国临床的药物发展、提高国民健康具有重要意义。</w:t>
      </w:r>
    </w:p>
    <w:p w:rsidR="007E692B" w:rsidRDefault="007E692B" w:rsidP="007E692B">
      <w:pPr>
        <w:spacing w:line="440" w:lineRule="exact"/>
        <w:ind w:firstLine="420"/>
        <w:rPr>
          <w:rFonts w:ascii="Arial" w:hAnsi="Arial" w:cs="Arial"/>
          <w:color w:val="000000"/>
          <w:shd w:val="clear" w:color="auto" w:fill="FFFFFF"/>
        </w:rPr>
      </w:pPr>
      <w:r>
        <w:t>总的来说，ENPP1在心肌损伤中的作用提示其作为临床生物标志物及治疗靶点的潜在价值。目前ENPP1抑制剂的研发大多处于临床及临床前研究阶段，尚未有药物批准上市。据不完全统计，目前在研的ENPP1小分子抑制剂共12个，大分子抑制剂共1个，多数处于临床早期，其中II期临床1个，I期临床3个，申报临床1个，临床前8个, 且针对ENPP1的大分子抑制剂适应症为急性心梗、心梗后心衰，其他小分子抑制剂适应症均为肿瘤。美国加州大学洛杉矶分校（UCLA）开发的针对ENPP1单克隆抗体抑制剂，用于挽救急性心梗后心脏功能和减缓心衰，此研究已获得CIRM 600万美元的奖金资助，用于这种新型治疗策略的转化研究，并预计2024年底提交FDA用于IND申请，并计划于2025年启动临床试验。以Stingray Therapeutics开发的SR8541A作为该靶点的小分子代表，目前最高的研发阶段为临床研究II期。二期与Botensilimab和Balstilimab联合，用于微卫星稳定型复发转移的结肠癌，其一期爬坡剂量5mg 、10 mg、20 mg、40 mg, BID。Riboscience开发的RBS2418入组适应症包括晚期不可切除、复发或转移性肿瘤，I期爬坡剂量为100 mg、200 mg、400 mg 和800 mg BID单药或联合pembrolizuma，所有剂量患者安全耐受。Txinno Bioscience开发的TXN-10128，入组适应症包括晚期不可切除、复发或转移性肿瘤。I期爬坡剂量75、150、300、500、700、900mg QD单药。英矽智能科技（上海）有限公司开发的ISM5939已经拿到FDA临床批件，临床I期处于not yet recruiting。南京征祥医药有限公司开发的ZXP8177已经拿到CDE临床批件。</w:t>
      </w:r>
    </w:p>
    <w:p w:rsidR="008366F0" w:rsidRPr="005438DF" w:rsidRDefault="00515837" w:rsidP="005F5993">
      <w:pPr>
        <w:spacing w:line="360" w:lineRule="auto"/>
        <w:ind w:firstLine="420"/>
        <w:rPr>
          <w:rFonts w:eastAsiaTheme="minorEastAsia"/>
          <w:kern w:val="0"/>
          <w:sz w:val="24"/>
        </w:rPr>
      </w:pPr>
      <w:r>
        <w:t>ENPP1抑制剂的临床研究均未发现治疗相关的副作用，没有SAEs和 DLTs。目前尚未有以ENPP1为靶点的药物批准上市。国内外靶向ENPP1抑制剂研究进展，参见表1-1。</w:t>
      </w:r>
    </w:p>
    <w:p w:rsidR="005F286F" w:rsidRDefault="00B45289" w:rsidP="005F286F">
      <w:pPr>
        <w:pStyle w:val="a9"/>
        <w:adjustRightInd w:val="0"/>
        <w:snapToGrid w:val="0"/>
        <w:spacing w:line="440" w:lineRule="exact"/>
        <w:ind w:firstLine="480"/>
        <w:rPr>
          <w:kern w:val="0"/>
          <w:sz w:val="24"/>
        </w:rPr>
      </w:pPr>
      <w:r>
        <w:t>DRUG001通过优化设计获得的具有知识产权的新型小分子抑制剂。DRUG001可以显著抑制ENPP1的活性（以ATP为底物时，IC50平均值为3.65 nM；以TMP-pNP为底物时，IC50平均值为0.18 nM），并且对ENPP2无明显抑制活性（IC50＞10 μM），对ENPP3的 IC50平均值为2.89nM（以TMP-pNP为底物），选择性是16倍。对于同样含有PDE 结构域家族的21个靶点的IC50均大于10 μM。对于利用ATP为底物的激酶家族217个靶点在1 μM的浓度下无明显抑制。对于Safety Panel 44个靶点在10 μM浓度下均无明显结合、抑制或激动。在大、小鼠冠状动脉永久结扎诱导的心肌梗死致心衰模型试验中，DRUG001无论是在早期心肌缺血损伤或后期心力衰竭过程均具有一定程度的改善作用，可以剂量依赖的改善心脏功能，提高左心室射血分数、短轴缩短率；改善心脏不良重构，降低心肌纤维化、降低心脏肥大；改善心衰相关生化指标，降低NT-proBNP水平；尤其的，DRUG001的高剂量组对于心脏功能的改善显示出比心衰标准治疗的药物LCZ696（诺欣妥）效果更优趋势。</w:t>
      </w:r>
    </w:p>
    <w:p w:rsidR="00A70BF1" w:rsidRPr="005F286F" w:rsidRDefault="00411272" w:rsidP="005F286F">
      <w:pPr>
        <w:pStyle w:val="a9"/>
        <w:adjustRightInd w:val="0"/>
        <w:snapToGrid w:val="0"/>
        <w:spacing w:line="440" w:lineRule="exact"/>
        <w:ind w:firstLine="480"/>
        <w:rPr>
          <w:rStyle w:val="fontstyle01"/>
          <w:rFonts w:ascii="Times New Roman" w:hAnsi="Times New Roman" w:hint="default"/>
          <w:color w:val="auto"/>
          <w:kern w:val="0"/>
        </w:rPr>
        <w:sectPr w:rsidR="00A70BF1" w:rsidRPr="005F286F" w:rsidSect="005311F0">
          <w:headerReference w:type="default" r:id="rId8"/>
          <w:footerReference w:type="default" r:id="rId9"/>
          <w:pgSz w:w="11906" w:h="16838"/>
          <w:pgMar w:top="1418" w:right="1247" w:bottom="1134" w:left="1588" w:header="709" w:footer="709" w:gutter="0"/>
          <w:cols w:space="425"/>
          <w:docGrid w:type="lines" w:linePitch="312"/>
        </w:sectPr>
      </w:pPr>
      <w:r>
        <w:t>我们选择ENPP1相关的急性心梗后心衰作为DRUG001的开发目标，通过生化试验、细胞试验和体内试验来评估DRUG001体内外的活性，为DRUG001临床用于治疗与ENPP1靶点相关的急性心梗后心衰提供科学依据。</w:t>
      </w:r>
    </w:p>
    <w:p w:rsidR="00427472" w:rsidRPr="00D87761" w:rsidRDefault="00D87761" w:rsidP="00D87761">
      <w:pPr>
        <w:pStyle w:val="aa"/>
        <w:spacing w:line="440" w:lineRule="exact"/>
        <w:jc w:val="center"/>
        <w:rPr>
          <w:rFonts w:ascii="Times New Roman" w:eastAsia="宋体" w:hAnsi="Times New Roman" w:cs="Times New Roman"/>
          <w:b/>
          <w:sz w:val="24"/>
          <w:szCs w:val="24"/>
        </w:rPr>
      </w:pPr>
      <w:r>
        <w:t>表1- 1 国内外ENPP1抑制剂研究进展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5"/>
        <w:gridCol w:w="1373"/>
        <w:gridCol w:w="1568"/>
        <w:gridCol w:w="850"/>
        <w:gridCol w:w="1134"/>
        <w:gridCol w:w="1701"/>
        <w:gridCol w:w="1701"/>
      </w:tblGrid>
      <w:tr w:rsidR="003F7781" w:rsidRPr="00A70BF1" w:rsidTr="003F7781">
        <w:trPr>
          <w:trHeight w:val="20"/>
        </w:trPr>
        <w:tc>
          <w:tcPr>
            <w:tcW w:w="682" w:type="pct"/>
            <w:shd w:val="clear" w:color="auto" w:fill="auto"/>
            <w:tcMar>
              <w:top w:w="72" w:type="dxa"/>
              <w:left w:w="144" w:type="dxa"/>
              <w:bottom w:w="72" w:type="dxa"/>
              <w:right w:w="144" w:type="dxa"/>
            </w:tcMar>
            <w:vAlign w:val="center"/>
            <w:hideMark/>
          </w:tcPr>
          <w:p>
            <w:r>
              <w:t>药物名称</w:t>
            </w:r>
          </w:p>
        </w:tc>
        <w:tc>
          <w:tcPr>
            <w:tcW w:w="712" w:type="pct"/>
            <w:shd w:val="clear" w:color="auto" w:fill="auto"/>
            <w:tcMar>
              <w:top w:w="72" w:type="dxa"/>
              <w:left w:w="144" w:type="dxa"/>
              <w:bottom w:w="72" w:type="dxa"/>
              <w:right w:w="144" w:type="dxa"/>
            </w:tcMar>
            <w:vAlign w:val="center"/>
            <w:hideMark/>
          </w:tcPr>
          <w:p>
            <w:r>
              <w:t>公司</w:t>
            </w:r>
          </w:p>
        </w:tc>
        <w:tc>
          <w:tcPr>
            <w:tcW w:w="813" w:type="pct"/>
            <w:shd w:val="clear" w:color="auto" w:fill="auto"/>
            <w:tcMar>
              <w:top w:w="72" w:type="dxa"/>
              <w:left w:w="144" w:type="dxa"/>
              <w:bottom w:w="72" w:type="dxa"/>
              <w:right w:w="144" w:type="dxa"/>
            </w:tcMar>
            <w:vAlign w:val="center"/>
            <w:hideMark/>
          </w:tcPr>
          <w:p>
            <w:r>
              <w:t>适应症</w:t>
            </w:r>
          </w:p>
        </w:tc>
        <w:tc>
          <w:tcPr>
            <w:tcW w:w="441" w:type="pct"/>
            <w:shd w:val="clear" w:color="auto" w:fill="auto"/>
            <w:tcMar>
              <w:top w:w="72" w:type="dxa"/>
              <w:left w:w="144" w:type="dxa"/>
              <w:bottom w:w="72" w:type="dxa"/>
              <w:right w:w="144" w:type="dxa"/>
            </w:tcMar>
            <w:vAlign w:val="center"/>
            <w:hideMark/>
          </w:tcPr>
          <w:p>
            <w:r>
              <w:t>给药方案</w:t>
            </w:r>
          </w:p>
        </w:tc>
        <w:tc>
          <w:tcPr>
            <w:tcW w:w="588" w:type="pct"/>
            <w:shd w:val="clear" w:color="auto" w:fill="auto"/>
            <w:tcMar>
              <w:top w:w="72" w:type="dxa"/>
              <w:left w:w="144" w:type="dxa"/>
              <w:bottom w:w="72" w:type="dxa"/>
              <w:right w:w="144" w:type="dxa"/>
            </w:tcMar>
            <w:vAlign w:val="center"/>
            <w:hideMark/>
          </w:tcPr>
          <w:p>
            <w:r>
              <w:t>最高研发阶段</w:t>
            </w:r>
          </w:p>
        </w:tc>
        <w:tc>
          <w:tcPr>
            <w:tcW w:w="882" w:type="pct"/>
            <w:shd w:val="clear" w:color="auto" w:fill="auto"/>
            <w:tcMar>
              <w:top w:w="72" w:type="dxa"/>
              <w:left w:w="144" w:type="dxa"/>
              <w:bottom w:w="72" w:type="dxa"/>
              <w:right w:w="144" w:type="dxa"/>
            </w:tcMar>
            <w:vAlign w:val="center"/>
            <w:hideMark/>
          </w:tcPr>
          <w:p>
            <w:r>
              <w:t>首次披露时间</w:t>
            </w:r>
          </w:p>
        </w:tc>
        <w:tc>
          <w:tcPr>
            <w:tcW w:w="882" w:type="pct"/>
            <w:shd w:val="clear" w:color="auto" w:fill="auto"/>
            <w:tcMar>
              <w:top w:w="72" w:type="dxa"/>
              <w:left w:w="144" w:type="dxa"/>
              <w:bottom w:w="72" w:type="dxa"/>
              <w:right w:w="144" w:type="dxa"/>
            </w:tcMar>
            <w:vAlign w:val="center"/>
            <w:hideMark/>
          </w:tcPr>
          <w:p>
            <w:r>
              <w:t>当前状态</w:t>
            </w:r>
          </w:p>
        </w:tc>
      </w:tr>
      <w:bookmarkEnd w:id="34"/>
      <w:tr w:rsidR="007C3CDA" w:rsidRPr="00A70BF1" w:rsidTr="003F7781">
        <w:trPr>
          <w:trHeight w:val="20"/>
        </w:trPr>
        <w:tc>
          <w:tcPr>
            <w:tcW w:w="682" w:type="pct"/>
            <w:shd w:val="clear" w:color="auto" w:fill="auto"/>
            <w:tcMar>
              <w:top w:w="72" w:type="dxa"/>
              <w:left w:w="144" w:type="dxa"/>
              <w:bottom w:w="72" w:type="dxa"/>
              <w:right w:w="144" w:type="dxa"/>
            </w:tcMar>
            <w:vAlign w:val="center"/>
          </w:tcPr>
          <w:p>
            <w:r>
              <w:t>SR8541A</w:t>
            </w:r>
          </w:p>
        </w:tc>
        <w:tc>
          <w:tcPr>
            <w:tcW w:w="712" w:type="pct"/>
            <w:shd w:val="clear" w:color="auto" w:fill="auto"/>
            <w:tcMar>
              <w:top w:w="72" w:type="dxa"/>
              <w:left w:w="144" w:type="dxa"/>
              <w:bottom w:w="72" w:type="dxa"/>
              <w:right w:w="144" w:type="dxa"/>
            </w:tcMar>
            <w:vAlign w:val="center"/>
          </w:tcPr>
          <w:p>
            <w:r>
              <w:t>Stingray Therapeutics LLC</w:t>
            </w:r>
          </w:p>
        </w:tc>
        <w:tc>
          <w:tcPr>
            <w:tcW w:w="813" w:type="pct"/>
            <w:shd w:val="clear" w:color="auto" w:fill="auto"/>
            <w:tcMar>
              <w:top w:w="72" w:type="dxa"/>
              <w:left w:w="144" w:type="dxa"/>
              <w:bottom w:w="72" w:type="dxa"/>
              <w:right w:w="144" w:type="dxa"/>
            </w:tcMar>
            <w:vAlign w:val="center"/>
          </w:tcPr>
          <w:p>
            <w:r>
              <w:t>难治性转移微卫星稳定结直肠癌</w:t>
            </w:r>
          </w:p>
        </w:tc>
        <w:tc>
          <w:tcPr>
            <w:tcW w:w="441" w:type="pct"/>
            <w:shd w:val="clear" w:color="auto" w:fill="auto"/>
            <w:tcMar>
              <w:top w:w="72" w:type="dxa"/>
              <w:left w:w="144" w:type="dxa"/>
              <w:bottom w:w="72" w:type="dxa"/>
              <w:right w:w="144" w:type="dxa"/>
            </w:tcMar>
            <w:vAlign w:val="center"/>
          </w:tcPr>
          <w:p>
            <w:r>
              <w:t>口服</w:t>
            </w:r>
          </w:p>
        </w:tc>
        <w:tc>
          <w:tcPr>
            <w:tcW w:w="588" w:type="pct"/>
            <w:shd w:val="clear" w:color="auto" w:fill="auto"/>
            <w:tcMar>
              <w:top w:w="72" w:type="dxa"/>
              <w:left w:w="144" w:type="dxa"/>
              <w:bottom w:w="72" w:type="dxa"/>
              <w:right w:w="144" w:type="dxa"/>
            </w:tcMar>
            <w:vAlign w:val="center"/>
          </w:tcPr>
          <w:p>
            <w:r>
              <w:t>Phase II</w:t>
            </w:r>
          </w:p>
        </w:tc>
        <w:tc>
          <w:tcPr>
            <w:tcW w:w="882" w:type="pct"/>
            <w:shd w:val="clear" w:color="auto" w:fill="auto"/>
            <w:tcMar>
              <w:top w:w="72" w:type="dxa"/>
              <w:left w:w="144" w:type="dxa"/>
              <w:bottom w:w="72" w:type="dxa"/>
              <w:right w:w="144" w:type="dxa"/>
            </w:tcMar>
            <w:vAlign w:val="center"/>
          </w:tcPr>
          <w:p>
            <w:r>
              <w:t>2020.6</w:t>
            </w:r>
          </w:p>
        </w:tc>
        <w:tc>
          <w:tcPr>
            <w:tcW w:w="882" w:type="pct"/>
            <w:shd w:val="clear" w:color="auto" w:fill="auto"/>
            <w:tcMar>
              <w:top w:w="72" w:type="dxa"/>
              <w:left w:w="144" w:type="dxa"/>
              <w:bottom w:w="72" w:type="dxa"/>
              <w:right w:w="144" w:type="dxa"/>
            </w:tcMar>
            <w:vAlign w:val="center"/>
          </w:tcPr>
          <w:p>
            <w:r>
              <w:t>Not yet Recruiting</w:t>
            </w:r>
          </w:p>
        </w:tc>
      </w:tr>
      <w:tr w:rsidR="007C3CDA" w:rsidRPr="00A70BF1" w:rsidTr="003F7781">
        <w:trPr>
          <w:trHeight w:val="20"/>
        </w:trPr>
        <w:tc>
          <w:tcPr>
            <w:tcW w:w="682" w:type="pct"/>
            <w:shd w:val="clear" w:color="auto" w:fill="auto"/>
            <w:tcMar>
              <w:top w:w="72" w:type="dxa"/>
              <w:left w:w="144" w:type="dxa"/>
              <w:bottom w:w="72" w:type="dxa"/>
              <w:right w:w="144" w:type="dxa"/>
            </w:tcMar>
            <w:vAlign w:val="center"/>
            <w:hideMark/>
          </w:tcPr>
          <w:p>
            <w:r>
              <w:t>RBS2418</w:t>
            </w:r>
          </w:p>
        </w:tc>
        <w:tc>
          <w:tcPr>
            <w:tcW w:w="712" w:type="pct"/>
            <w:shd w:val="clear" w:color="auto" w:fill="auto"/>
            <w:tcMar>
              <w:top w:w="72" w:type="dxa"/>
              <w:left w:w="144" w:type="dxa"/>
              <w:bottom w:w="72" w:type="dxa"/>
              <w:right w:w="144" w:type="dxa"/>
            </w:tcMar>
            <w:vAlign w:val="center"/>
            <w:hideMark/>
          </w:tcPr>
          <w:p>
            <w:r>
              <w:t>Riboscience, LLC</w:t>
            </w:r>
          </w:p>
        </w:tc>
        <w:tc>
          <w:tcPr>
            <w:tcW w:w="813" w:type="pct"/>
            <w:shd w:val="clear" w:color="auto" w:fill="auto"/>
            <w:tcMar>
              <w:top w:w="72" w:type="dxa"/>
              <w:left w:w="144" w:type="dxa"/>
              <w:bottom w:w="72" w:type="dxa"/>
              <w:right w:w="144" w:type="dxa"/>
            </w:tcMar>
            <w:vAlign w:val="center"/>
            <w:hideMark/>
          </w:tcPr>
          <w:p>
            <w:r>
              <w:t>晚期肿瘤</w:t>
            </w:r>
          </w:p>
        </w:tc>
        <w:tc>
          <w:tcPr>
            <w:tcW w:w="441" w:type="pct"/>
            <w:shd w:val="clear" w:color="auto" w:fill="auto"/>
            <w:tcMar>
              <w:top w:w="72" w:type="dxa"/>
              <w:left w:w="144" w:type="dxa"/>
              <w:bottom w:w="72" w:type="dxa"/>
              <w:right w:w="144" w:type="dxa"/>
            </w:tcMar>
            <w:vAlign w:val="center"/>
            <w:hideMark/>
          </w:tcPr>
          <w:p>
            <w:r>
              <w:t>口服</w:t>
            </w:r>
          </w:p>
        </w:tc>
        <w:tc>
          <w:tcPr>
            <w:tcW w:w="588" w:type="pct"/>
            <w:shd w:val="clear" w:color="auto" w:fill="auto"/>
            <w:tcMar>
              <w:top w:w="72" w:type="dxa"/>
              <w:left w:w="144" w:type="dxa"/>
              <w:bottom w:w="72" w:type="dxa"/>
              <w:right w:w="144" w:type="dxa"/>
            </w:tcMar>
            <w:vAlign w:val="center"/>
            <w:hideMark/>
          </w:tcPr>
          <w:p>
            <w:r>
              <w:t>Phase 1a/1b</w:t>
            </w:r>
          </w:p>
        </w:tc>
        <w:tc>
          <w:tcPr>
            <w:tcW w:w="882" w:type="pct"/>
            <w:shd w:val="clear" w:color="auto" w:fill="auto"/>
            <w:tcMar>
              <w:top w:w="72" w:type="dxa"/>
              <w:left w:w="144" w:type="dxa"/>
              <w:bottom w:w="72" w:type="dxa"/>
              <w:right w:w="144" w:type="dxa"/>
            </w:tcMar>
            <w:vAlign w:val="center"/>
            <w:hideMark/>
          </w:tcPr>
          <w:p>
            <w:r>
              <w:t>2022.3.8</w:t>
            </w:r>
          </w:p>
        </w:tc>
        <w:tc>
          <w:tcPr>
            <w:tcW w:w="882" w:type="pct"/>
            <w:shd w:val="clear" w:color="auto" w:fill="auto"/>
            <w:tcMar>
              <w:top w:w="72" w:type="dxa"/>
              <w:left w:w="144" w:type="dxa"/>
              <w:bottom w:w="72" w:type="dxa"/>
              <w:right w:w="144" w:type="dxa"/>
            </w:tcMar>
            <w:vAlign w:val="center"/>
            <w:hideMark/>
          </w:tcPr>
          <w:p>
            <w:r>
              <w:t>Recruiting</w:t>
            </w:r>
          </w:p>
        </w:tc>
      </w:tr>
      <w:tr w:rsidR="007C3CDA" w:rsidRPr="00A70BF1" w:rsidTr="003F7781">
        <w:trPr>
          <w:trHeight w:val="20"/>
        </w:trPr>
        <w:tc>
          <w:tcPr>
            <w:tcW w:w="682" w:type="pct"/>
            <w:shd w:val="clear" w:color="auto" w:fill="auto"/>
            <w:tcMar>
              <w:top w:w="72" w:type="dxa"/>
              <w:left w:w="144" w:type="dxa"/>
              <w:bottom w:w="72" w:type="dxa"/>
              <w:right w:w="144" w:type="dxa"/>
            </w:tcMar>
            <w:vAlign w:val="center"/>
            <w:hideMark/>
          </w:tcPr>
          <w:p>
            <w:r>
              <w:t>TXN-10128</w:t>
            </w:r>
          </w:p>
        </w:tc>
        <w:tc>
          <w:tcPr>
            <w:tcW w:w="712" w:type="pct"/>
            <w:shd w:val="clear" w:color="auto" w:fill="auto"/>
            <w:tcMar>
              <w:top w:w="72" w:type="dxa"/>
              <w:left w:w="144" w:type="dxa"/>
              <w:bottom w:w="72" w:type="dxa"/>
              <w:right w:w="144" w:type="dxa"/>
            </w:tcMar>
            <w:vAlign w:val="center"/>
            <w:hideMark/>
          </w:tcPr>
          <w:p>
            <w:r>
              <w:t>Txinno Bioscience Co Ltd</w:t>
            </w:r>
          </w:p>
        </w:tc>
        <w:tc>
          <w:tcPr>
            <w:tcW w:w="813" w:type="pct"/>
            <w:shd w:val="clear" w:color="auto" w:fill="auto"/>
            <w:tcMar>
              <w:top w:w="72" w:type="dxa"/>
              <w:left w:w="144" w:type="dxa"/>
              <w:bottom w:w="72" w:type="dxa"/>
              <w:right w:w="144" w:type="dxa"/>
            </w:tcMar>
            <w:vAlign w:val="center"/>
            <w:hideMark/>
          </w:tcPr>
          <w:p>
            <w:r>
              <w:t>局部晚期（不可切除）或转移性实体瘤</w:t>
            </w:r>
          </w:p>
        </w:tc>
        <w:tc>
          <w:tcPr>
            <w:tcW w:w="441" w:type="pct"/>
            <w:shd w:val="clear" w:color="auto" w:fill="auto"/>
            <w:tcMar>
              <w:top w:w="72" w:type="dxa"/>
              <w:left w:w="144" w:type="dxa"/>
              <w:bottom w:w="72" w:type="dxa"/>
              <w:right w:w="144" w:type="dxa"/>
            </w:tcMar>
            <w:vAlign w:val="center"/>
            <w:hideMark/>
          </w:tcPr>
          <w:p>
            <w:r>
              <w:t>口服</w:t>
            </w:r>
          </w:p>
        </w:tc>
        <w:tc>
          <w:tcPr>
            <w:tcW w:w="588" w:type="pct"/>
            <w:shd w:val="clear" w:color="auto" w:fill="auto"/>
            <w:tcMar>
              <w:top w:w="72" w:type="dxa"/>
              <w:left w:w="144" w:type="dxa"/>
              <w:bottom w:w="72" w:type="dxa"/>
              <w:right w:w="144" w:type="dxa"/>
            </w:tcMar>
            <w:vAlign w:val="center"/>
            <w:hideMark/>
          </w:tcPr>
          <w:p>
            <w:r>
              <w:t>Phase I</w:t>
            </w:r>
          </w:p>
        </w:tc>
        <w:tc>
          <w:tcPr>
            <w:tcW w:w="882" w:type="pct"/>
            <w:shd w:val="clear" w:color="auto" w:fill="auto"/>
            <w:tcMar>
              <w:top w:w="72" w:type="dxa"/>
              <w:left w:w="144" w:type="dxa"/>
              <w:bottom w:w="72" w:type="dxa"/>
              <w:right w:w="144" w:type="dxa"/>
            </w:tcMar>
            <w:vAlign w:val="center"/>
            <w:hideMark/>
          </w:tcPr>
          <w:p>
            <w:r>
              <w:t>2021.10.18</w:t>
            </w:r>
          </w:p>
        </w:tc>
        <w:tc>
          <w:tcPr>
            <w:tcW w:w="882" w:type="pct"/>
            <w:shd w:val="clear" w:color="auto" w:fill="auto"/>
            <w:tcMar>
              <w:top w:w="72" w:type="dxa"/>
              <w:left w:w="144" w:type="dxa"/>
              <w:bottom w:w="72" w:type="dxa"/>
              <w:right w:w="144" w:type="dxa"/>
            </w:tcMar>
            <w:vAlign w:val="center"/>
            <w:hideMark/>
          </w:tcPr>
          <w:p>
            <w:r>
              <w:t>Recruiting</w:t>
            </w:r>
          </w:p>
        </w:tc>
      </w:tr>
      <w:tr w:rsidR="00E25455" w:rsidRPr="00A70BF1" w:rsidTr="003F7781">
        <w:trPr>
          <w:trHeight w:val="20"/>
        </w:trPr>
        <w:tc>
          <w:tcPr>
            <w:tcW w:w="682" w:type="pct"/>
            <w:shd w:val="clear" w:color="auto" w:fill="auto"/>
            <w:tcMar>
              <w:top w:w="72" w:type="dxa"/>
              <w:left w:w="144" w:type="dxa"/>
              <w:bottom w:w="72" w:type="dxa"/>
              <w:right w:w="144" w:type="dxa"/>
            </w:tcMar>
            <w:vAlign w:val="center"/>
          </w:tcPr>
          <w:p>
            <w:r>
              <w:t>ISM5939</w:t>
            </w:r>
          </w:p>
        </w:tc>
        <w:tc>
          <w:tcPr>
            <w:tcW w:w="712" w:type="pct"/>
            <w:shd w:val="clear" w:color="auto" w:fill="auto"/>
            <w:tcMar>
              <w:top w:w="72" w:type="dxa"/>
              <w:left w:w="144" w:type="dxa"/>
              <w:bottom w:w="72" w:type="dxa"/>
              <w:right w:w="144" w:type="dxa"/>
            </w:tcMar>
            <w:vAlign w:val="center"/>
          </w:tcPr>
          <w:p>
            <w:r>
              <w:t>英矽智能科技（上海）有限公司</w:t>
            </w:r>
          </w:p>
        </w:tc>
        <w:tc>
          <w:tcPr>
            <w:tcW w:w="813" w:type="pct"/>
            <w:shd w:val="clear" w:color="auto" w:fill="auto"/>
            <w:tcMar>
              <w:top w:w="72" w:type="dxa"/>
              <w:left w:w="144" w:type="dxa"/>
              <w:bottom w:w="72" w:type="dxa"/>
              <w:right w:w="144" w:type="dxa"/>
            </w:tcMar>
            <w:vAlign w:val="center"/>
          </w:tcPr>
          <w:p>
            <w:r>
              <w:t>实体瘤</w:t>
            </w:r>
          </w:p>
        </w:tc>
        <w:tc>
          <w:tcPr>
            <w:tcW w:w="441" w:type="pct"/>
            <w:shd w:val="clear" w:color="auto" w:fill="auto"/>
            <w:tcMar>
              <w:top w:w="72" w:type="dxa"/>
              <w:left w:w="144" w:type="dxa"/>
              <w:bottom w:w="72" w:type="dxa"/>
              <w:right w:w="144" w:type="dxa"/>
            </w:tcMar>
            <w:vAlign w:val="center"/>
          </w:tcPr>
          <w:p>
            <w:r>
              <w:t>口服</w:t>
            </w:r>
          </w:p>
        </w:tc>
        <w:tc>
          <w:tcPr>
            <w:tcW w:w="588" w:type="pct"/>
            <w:shd w:val="clear" w:color="auto" w:fill="auto"/>
            <w:tcMar>
              <w:top w:w="72" w:type="dxa"/>
              <w:left w:w="144" w:type="dxa"/>
              <w:bottom w:w="72" w:type="dxa"/>
              <w:right w:w="144" w:type="dxa"/>
            </w:tcMar>
            <w:vAlign w:val="center"/>
          </w:tcPr>
          <w:p>
            <w:r>
              <w:t>Phase I</w:t>
            </w:r>
          </w:p>
        </w:tc>
        <w:tc>
          <w:tcPr>
            <w:tcW w:w="882" w:type="pct"/>
            <w:shd w:val="clear" w:color="auto" w:fill="auto"/>
            <w:tcMar>
              <w:top w:w="72" w:type="dxa"/>
              <w:left w:w="144" w:type="dxa"/>
              <w:bottom w:w="72" w:type="dxa"/>
              <w:right w:w="144" w:type="dxa"/>
            </w:tcMar>
            <w:vAlign w:val="center"/>
          </w:tcPr>
          <w:p>
            <w:r>
              <w:t>2023.05</w:t>
            </w:r>
          </w:p>
        </w:tc>
        <w:tc>
          <w:tcPr>
            <w:tcW w:w="882" w:type="pct"/>
            <w:shd w:val="clear" w:color="auto" w:fill="auto"/>
            <w:tcMar>
              <w:top w:w="72" w:type="dxa"/>
              <w:left w:w="144" w:type="dxa"/>
              <w:bottom w:w="72" w:type="dxa"/>
              <w:right w:w="144" w:type="dxa"/>
            </w:tcMar>
            <w:vAlign w:val="center"/>
          </w:tcPr>
          <w:p>
            <w:r>
              <w:t>Not yet Recruiting</w:t>
            </w:r>
          </w:p>
        </w:tc>
      </w:tr>
      <w:tr w:rsidR="007C3CDA" w:rsidRPr="00A70BF1" w:rsidTr="003F7781">
        <w:trPr>
          <w:trHeight w:val="20"/>
        </w:trPr>
        <w:tc>
          <w:tcPr>
            <w:tcW w:w="682" w:type="pct"/>
            <w:shd w:val="clear" w:color="auto" w:fill="auto"/>
            <w:tcMar>
              <w:top w:w="72" w:type="dxa"/>
              <w:left w:w="144" w:type="dxa"/>
              <w:bottom w:w="72" w:type="dxa"/>
              <w:right w:w="144" w:type="dxa"/>
            </w:tcMar>
            <w:vAlign w:val="center"/>
            <w:hideMark/>
          </w:tcPr>
          <w:p>
            <w:r>
              <w:t>ZX-8177片</w:t>
            </w:r>
          </w:p>
        </w:tc>
        <w:tc>
          <w:tcPr>
            <w:tcW w:w="712" w:type="pct"/>
            <w:shd w:val="clear" w:color="auto" w:fill="auto"/>
            <w:tcMar>
              <w:top w:w="72" w:type="dxa"/>
              <w:left w:w="144" w:type="dxa"/>
              <w:bottom w:w="72" w:type="dxa"/>
              <w:right w:w="144" w:type="dxa"/>
            </w:tcMar>
            <w:vAlign w:val="center"/>
            <w:hideMark/>
          </w:tcPr>
          <w:p>
            <w:r>
              <w:t>南京征祥医药有限公司</w:t>
            </w:r>
          </w:p>
        </w:tc>
        <w:tc>
          <w:tcPr>
            <w:tcW w:w="813" w:type="pct"/>
            <w:shd w:val="clear" w:color="auto" w:fill="auto"/>
            <w:tcMar>
              <w:top w:w="72" w:type="dxa"/>
              <w:left w:w="144" w:type="dxa"/>
              <w:bottom w:w="72" w:type="dxa"/>
              <w:right w:w="144" w:type="dxa"/>
            </w:tcMar>
            <w:vAlign w:val="center"/>
            <w:hideMark/>
          </w:tcPr>
          <w:p>
            <w:r>
              <w:t>晚期实体瘤</w:t>
            </w:r>
          </w:p>
        </w:tc>
        <w:tc>
          <w:tcPr>
            <w:tcW w:w="441" w:type="pct"/>
            <w:shd w:val="clear" w:color="auto" w:fill="auto"/>
            <w:tcMar>
              <w:top w:w="72" w:type="dxa"/>
              <w:left w:w="144" w:type="dxa"/>
              <w:bottom w:w="72" w:type="dxa"/>
              <w:right w:w="144" w:type="dxa"/>
            </w:tcMar>
            <w:vAlign w:val="center"/>
            <w:hideMark/>
          </w:tcPr>
          <w:p>
            <w:r>
              <w:t xml:space="preserve">　</w:t>
            </w:r>
          </w:p>
        </w:tc>
        <w:tc>
          <w:tcPr>
            <w:tcW w:w="588" w:type="pct"/>
            <w:shd w:val="clear" w:color="auto" w:fill="auto"/>
            <w:tcMar>
              <w:top w:w="72" w:type="dxa"/>
              <w:left w:w="144" w:type="dxa"/>
              <w:bottom w:w="72" w:type="dxa"/>
              <w:right w:w="144" w:type="dxa"/>
            </w:tcMar>
            <w:vAlign w:val="center"/>
            <w:hideMark/>
          </w:tcPr>
          <w:p>
            <w:r>
              <w:t>申报临床</w:t>
            </w:r>
          </w:p>
        </w:tc>
        <w:tc>
          <w:tcPr>
            <w:tcW w:w="882" w:type="pct"/>
            <w:shd w:val="clear" w:color="auto" w:fill="auto"/>
            <w:tcMar>
              <w:top w:w="72" w:type="dxa"/>
              <w:left w:w="144" w:type="dxa"/>
              <w:bottom w:w="72" w:type="dxa"/>
              <w:right w:w="144" w:type="dxa"/>
            </w:tcMar>
            <w:vAlign w:val="center"/>
            <w:hideMark/>
          </w:tcPr>
          <w:p>
            <w:r>
              <w:t>2021.4.26</w:t>
            </w:r>
          </w:p>
        </w:tc>
        <w:tc>
          <w:tcPr>
            <w:tcW w:w="882" w:type="pct"/>
            <w:shd w:val="clear" w:color="auto" w:fill="auto"/>
            <w:tcMar>
              <w:top w:w="72" w:type="dxa"/>
              <w:left w:w="144" w:type="dxa"/>
              <w:bottom w:w="72" w:type="dxa"/>
              <w:right w:w="144" w:type="dxa"/>
            </w:tcMar>
            <w:vAlign w:val="center"/>
            <w:hideMark/>
          </w:tcPr>
          <w:p>
            <w:r>
              <w:t>CDE临床试验默示许可</w:t>
              <w:br/>
              <w:t>（2024.06.19）</w:t>
            </w:r>
          </w:p>
        </w:tc>
      </w:tr>
      <w:tr w:rsidR="007C3CDA" w:rsidRPr="00A70BF1" w:rsidTr="003F7781">
        <w:trPr>
          <w:trHeight w:val="20"/>
        </w:trPr>
        <w:tc>
          <w:tcPr>
            <w:tcW w:w="682" w:type="pct"/>
            <w:shd w:val="clear" w:color="auto" w:fill="auto"/>
            <w:tcMar>
              <w:top w:w="72" w:type="dxa"/>
              <w:left w:w="144" w:type="dxa"/>
              <w:bottom w:w="72" w:type="dxa"/>
              <w:right w:w="144" w:type="dxa"/>
            </w:tcMar>
            <w:vAlign w:val="center"/>
          </w:tcPr>
          <w:p>
            <w:r>
              <w:t xml:space="preserve">huENPP1 mAb </w:t>
            </w:r>
          </w:p>
        </w:tc>
        <w:tc>
          <w:tcPr>
            <w:tcW w:w="712" w:type="pct"/>
            <w:shd w:val="clear" w:color="auto" w:fill="auto"/>
            <w:tcMar>
              <w:top w:w="72" w:type="dxa"/>
              <w:left w:w="144" w:type="dxa"/>
              <w:bottom w:w="72" w:type="dxa"/>
              <w:right w:w="144" w:type="dxa"/>
            </w:tcMar>
            <w:vAlign w:val="center"/>
          </w:tcPr>
          <w:p>
            <w:r>
              <w:t>加州大学洛杉矶分校</w:t>
            </w:r>
          </w:p>
        </w:tc>
        <w:tc>
          <w:tcPr>
            <w:tcW w:w="813" w:type="pct"/>
            <w:shd w:val="clear" w:color="auto" w:fill="auto"/>
            <w:tcMar>
              <w:top w:w="72" w:type="dxa"/>
              <w:left w:w="144" w:type="dxa"/>
              <w:bottom w:w="72" w:type="dxa"/>
              <w:right w:w="144" w:type="dxa"/>
            </w:tcMar>
            <w:vAlign w:val="center"/>
          </w:tcPr>
          <w:p>
            <w:r>
              <w:t>急性心梗/预防心衰、扩张性心肌病</w:t>
            </w:r>
          </w:p>
        </w:tc>
        <w:tc>
          <w:tcPr>
            <w:tcW w:w="441" w:type="pct"/>
            <w:shd w:val="clear" w:color="auto" w:fill="auto"/>
            <w:tcMar>
              <w:top w:w="72" w:type="dxa"/>
              <w:left w:w="144" w:type="dxa"/>
              <w:bottom w:w="72" w:type="dxa"/>
              <w:right w:w="144" w:type="dxa"/>
            </w:tcMar>
            <w:vAlign w:val="center"/>
          </w:tcPr>
          <w:p>
            <w:r/>
          </w:p>
        </w:tc>
        <w:tc>
          <w:tcPr>
            <w:tcW w:w="588" w:type="pct"/>
            <w:shd w:val="clear" w:color="auto" w:fill="auto"/>
            <w:tcMar>
              <w:top w:w="72" w:type="dxa"/>
              <w:left w:w="144" w:type="dxa"/>
              <w:bottom w:w="72" w:type="dxa"/>
              <w:right w:w="144" w:type="dxa"/>
            </w:tcMar>
            <w:vAlign w:val="center"/>
          </w:tcPr>
          <w:p>
            <w:r>
              <w:t>临床前</w:t>
            </w:r>
          </w:p>
        </w:tc>
        <w:tc>
          <w:tcPr>
            <w:tcW w:w="882" w:type="pct"/>
            <w:shd w:val="clear" w:color="auto" w:fill="auto"/>
            <w:tcMar>
              <w:top w:w="72" w:type="dxa"/>
              <w:left w:w="144" w:type="dxa"/>
              <w:bottom w:w="72" w:type="dxa"/>
              <w:right w:w="144" w:type="dxa"/>
            </w:tcMar>
            <w:vAlign w:val="center"/>
          </w:tcPr>
          <w:p>
            <w:r>
              <w:t>2021年</w:t>
            </w:r>
          </w:p>
        </w:tc>
        <w:tc>
          <w:tcPr>
            <w:tcW w:w="882" w:type="pct"/>
            <w:shd w:val="clear" w:color="auto" w:fill="auto"/>
            <w:tcMar>
              <w:top w:w="72" w:type="dxa"/>
              <w:left w:w="144" w:type="dxa"/>
              <w:bottom w:w="72" w:type="dxa"/>
              <w:right w:w="144" w:type="dxa"/>
            </w:tcMar>
            <w:vAlign w:val="center"/>
          </w:tcPr>
          <w:p>
            <w:r>
              <w:t>计划2024年底进行美国IND申请，2025年启动临床试验</w:t>
            </w:r>
          </w:p>
        </w:tc>
      </w:tr>
    </w:tbl>
    <w:p w:rsidR="00A70BF1" w:rsidRPr="00192D85" w:rsidRDefault="00A70BF1" w:rsidP="00192D85">
      <w:pPr>
        <w:rPr>
          <w:sz w:val="24"/>
        </w:rPr>
        <w:sectPr w:rsidR="00A70BF1" w:rsidRPr="00192D85" w:rsidSect="000E6EA8">
          <w:headerReference w:type="default" r:id="rId10"/>
          <w:footerReference w:type="default" r:id="rId11"/>
          <w:pgSz w:w="11906" w:h="16838"/>
          <w:pgMar w:top="1134" w:right="1418" w:bottom="1134" w:left="1134" w:header="709" w:footer="709" w:gutter="0"/>
          <w:cols w:space="425"/>
          <w:docGrid w:type="lines" w:linePitch="312"/>
        </w:sectPr>
      </w:pPr>
      <w:r/>
    </w:p>
    <w:p w:rsidR="00F95A4C" w:rsidRPr="00665882" w:rsidRDefault="007F2F08" w:rsidP="000B6DF3">
      <w:pPr>
        <w:adjustRightInd w:val="0"/>
        <w:snapToGrid w:val="0"/>
        <w:spacing w:line="440" w:lineRule="exact"/>
        <w:outlineLvl w:val="1"/>
        <w:rPr>
          <w:b/>
          <w:sz w:val="24"/>
        </w:rPr>
      </w:pPr>
      <w:r>
        <w:t>2.6.1.1 药品名称</w:t>
      </w:r>
    </w:p>
    <w:p w:rsidR="00F95A4C" w:rsidRPr="00665882" w:rsidRDefault="00F95A4C" w:rsidP="00665882">
      <w:pPr>
        <w:spacing w:line="360" w:lineRule="auto"/>
        <w:ind w:firstLineChars="200" w:firstLine="480"/>
        <w:rPr>
          <w:sz w:val="24"/>
        </w:rPr>
      </w:pPr>
      <w:r>
        <w:t>通用名：DRUG001</w:t>
      </w:r>
    </w:p>
    <w:p w:rsidR="00F95A4C" w:rsidRPr="00665882" w:rsidRDefault="00F95A4C" w:rsidP="00665882">
      <w:pPr>
        <w:spacing w:line="360" w:lineRule="auto"/>
        <w:ind w:firstLineChars="200" w:firstLine="480"/>
        <w:rPr>
          <w:sz w:val="24"/>
        </w:rPr>
      </w:pPr>
      <w:r>
        <w:t>英文名称：DRUG001</w:t>
      </w:r>
    </w:p>
    <w:p w:rsidR="00F95A4C" w:rsidRPr="00665882" w:rsidRDefault="00F95A4C" w:rsidP="00665882">
      <w:pPr>
        <w:spacing w:line="360" w:lineRule="auto"/>
        <w:ind w:firstLineChars="200" w:firstLine="480"/>
        <w:rPr>
          <w:sz w:val="24"/>
        </w:rPr>
      </w:pPr>
      <w:r>
        <w:t>汉语拼音：暂无</w:t>
      </w:r>
    </w:p>
    <w:p w:rsidR="00F95A4C" w:rsidRPr="00665882" w:rsidRDefault="00735591" w:rsidP="00665882">
      <w:pPr>
        <w:adjustRightInd w:val="0"/>
        <w:spacing w:line="360" w:lineRule="auto"/>
        <w:ind w:firstLineChars="200" w:firstLine="480"/>
        <w:rPr>
          <w:sz w:val="24"/>
        </w:rPr>
      </w:pPr>
      <w:r>
        <w:t>研发代码：DRUG001</w:t>
      </w:r>
    </w:p>
    <w:p w:rsidR="00665882" w:rsidRPr="00665882" w:rsidRDefault="00F95A4C" w:rsidP="00665882">
      <w:pPr>
        <w:snapToGrid w:val="0"/>
        <w:spacing w:line="360" w:lineRule="auto"/>
        <w:ind w:firstLineChars="200" w:firstLine="480"/>
        <w:rPr>
          <w:sz w:val="24"/>
        </w:rPr>
      </w:pPr>
      <w:r>
        <w:t>化学名称：</w:t>
      </w:r>
    </w:p>
    <w:p w:rsidR="00665882" w:rsidRPr="00665882" w:rsidRDefault="00665882" w:rsidP="00665882">
      <w:pPr>
        <w:snapToGrid w:val="0"/>
        <w:spacing w:line="360" w:lineRule="auto"/>
        <w:ind w:left="420"/>
        <w:rPr>
          <w:kern w:val="0"/>
          <w:sz w:val="24"/>
        </w:rPr>
      </w:pPr>
      <w:r>
        <w:t>中文化学名：3,5-二氟-4-((8-甲氧基-2-氧代-2H-[1,3]恶嗪[5,4-c][1,8]萘啶-1(4H)-基)甲基)苯磺酰胺</w:t>
      </w:r>
    </w:p>
    <w:p w:rsidR="00F95A4C" w:rsidRPr="00665882" w:rsidRDefault="00665882" w:rsidP="00665882">
      <w:pPr>
        <w:snapToGrid w:val="0"/>
        <w:spacing w:line="360" w:lineRule="auto"/>
        <w:ind w:left="420"/>
        <w:rPr>
          <w:kern w:val="0"/>
          <w:sz w:val="24"/>
        </w:rPr>
      </w:pPr>
      <w:r>
        <w:t>英文化学名：3,5-difluoro-4-((8-methoxy-2-oxo-2H-[1,3]oxazino[5,4-c][1,8] naphthyridin-1(4H)-yl)methyl) benzenesulfonamide</w:t>
      </w:r>
    </w:p>
    <w:p w:rsidR="00FE2E94" w:rsidRPr="00665882" w:rsidRDefault="007F2F08" w:rsidP="00665882">
      <w:pPr>
        <w:adjustRightInd w:val="0"/>
        <w:snapToGrid w:val="0"/>
        <w:spacing w:line="360" w:lineRule="auto"/>
        <w:outlineLvl w:val="1"/>
        <w:rPr>
          <w:b/>
          <w:sz w:val="24"/>
        </w:rPr>
      </w:pPr>
      <w:r>
        <w:t>2.6.1.2 分子结构、分子量</w:t>
      </w:r>
    </w:p>
    <w:p w:rsidR="00665882" w:rsidRPr="00665882" w:rsidRDefault="00665882" w:rsidP="00665882">
      <w:pPr>
        <w:adjustRightInd w:val="0"/>
        <w:spacing w:line="360" w:lineRule="auto"/>
        <w:ind w:firstLineChars="200" w:firstLine="420"/>
        <w:rPr>
          <w:rFonts w:eastAsiaTheme="minorEastAsia"/>
          <w:sz w:val="24"/>
        </w:rPr>
      </w:pPr>
      <w:r>
        <w:t>本品主要活性药物DRUG001的结构式：</w:t>
      </w:r>
    </w:p>
    <w:p w:rsidR="00E473FF" w:rsidRPr="00665882" w:rsidRDefault="00E473FF" w:rsidP="00665882">
      <w:pPr>
        <w:spacing w:line="360" w:lineRule="auto"/>
        <w:jc w:val="center"/>
        <w:rPr>
          <w:rFonts w:eastAsiaTheme="minorEastAsia"/>
          <w:noProof/>
          <w:sz w:val="24"/>
        </w:rPr>
      </w:pPr>
      <w:r/>
    </w:p>
    <w:p w:rsidR="001615C1" w:rsidRPr="00665882" w:rsidRDefault="00F95A4C" w:rsidP="00665882">
      <w:pPr>
        <w:spacing w:line="360" w:lineRule="auto"/>
        <w:ind w:firstLineChars="200" w:firstLine="480"/>
        <w:rPr>
          <w:rFonts w:eastAsiaTheme="minorEastAsia"/>
          <w:color w:val="000000"/>
          <w:sz w:val="24"/>
        </w:rPr>
      </w:pPr>
      <w:r>
        <w:t>分子式 ： C18H14F2N4O5S</w:t>
      </w:r>
    </w:p>
    <w:p w:rsidR="00E473FF" w:rsidRPr="00665882" w:rsidRDefault="00F95A4C" w:rsidP="00665882">
      <w:pPr>
        <w:spacing w:line="360" w:lineRule="auto"/>
        <w:ind w:firstLineChars="200" w:firstLine="480"/>
        <w:rPr>
          <w:rFonts w:eastAsiaTheme="minorEastAsia"/>
          <w:sz w:val="24"/>
        </w:rPr>
      </w:pPr>
      <w:r>
        <w:t>分子量 ：436.39</w:t>
      </w:r>
    </w:p>
    <w:p w:rsidR="00FE2E94" w:rsidRPr="00665882" w:rsidRDefault="007F2F08" w:rsidP="00665882">
      <w:pPr>
        <w:adjustRightInd w:val="0"/>
        <w:snapToGrid w:val="0"/>
        <w:spacing w:line="360" w:lineRule="auto"/>
        <w:outlineLvl w:val="1"/>
        <w:rPr>
          <w:b/>
          <w:sz w:val="24"/>
        </w:rPr>
      </w:pPr>
      <w:r>
        <w:t>2.6.1.3 制剂的剂型、规格及给药途径</w:t>
      </w:r>
    </w:p>
    <w:p w:rsidR="00FE2E94" w:rsidRPr="00665882" w:rsidRDefault="00F95A4C" w:rsidP="00665882">
      <w:pPr>
        <w:pStyle w:val="a5"/>
        <w:spacing w:line="360" w:lineRule="auto"/>
        <w:ind w:firstLineChars="200" w:firstLine="480"/>
        <w:jc w:val="both"/>
        <w:rPr>
          <w:sz w:val="24"/>
        </w:rPr>
      </w:pPr>
      <w:r>
        <w:t>剂型： 片剂</w:t>
      </w:r>
    </w:p>
    <w:p w:rsidR="00F95A4C" w:rsidRPr="00665882" w:rsidRDefault="00F95A4C" w:rsidP="00665882">
      <w:pPr>
        <w:pStyle w:val="a5"/>
        <w:spacing w:line="360" w:lineRule="auto"/>
        <w:ind w:firstLineChars="200" w:firstLine="480"/>
        <w:jc w:val="both"/>
        <w:rPr>
          <w:sz w:val="24"/>
        </w:rPr>
      </w:pPr>
      <w:r>
        <w:t>规格为：50 mg划痕片，200 mg</w:t>
      </w:r>
    </w:p>
    <w:p w:rsidR="00FE2E94" w:rsidRPr="00665882" w:rsidRDefault="00FE2E94" w:rsidP="00665882">
      <w:pPr>
        <w:pStyle w:val="a5"/>
        <w:spacing w:line="360" w:lineRule="auto"/>
        <w:ind w:firstLineChars="200" w:firstLine="480"/>
        <w:jc w:val="both"/>
        <w:rPr>
          <w:sz w:val="24"/>
        </w:rPr>
      </w:pPr>
      <w:r>
        <w:t>给药途径：口服</w:t>
      </w:r>
    </w:p>
    <w:p w:rsidR="00FE2E94" w:rsidRPr="00665882" w:rsidRDefault="007F2F08" w:rsidP="00665882">
      <w:pPr>
        <w:adjustRightInd w:val="0"/>
        <w:snapToGrid w:val="0"/>
        <w:spacing w:line="360" w:lineRule="auto"/>
        <w:outlineLvl w:val="1"/>
        <w:rPr>
          <w:b/>
          <w:sz w:val="24"/>
        </w:rPr>
      </w:pPr>
      <w:r>
        <w:t>2.6.1.4 适应症</w:t>
      </w:r>
    </w:p>
    <w:p w:rsidR="00FE2E94" w:rsidRPr="00062EA7" w:rsidRDefault="00D929E9" w:rsidP="00665882">
      <w:pPr>
        <w:pStyle w:val="Default"/>
        <w:snapToGrid w:val="0"/>
        <w:spacing w:line="360" w:lineRule="auto"/>
        <w:ind w:firstLineChars="200" w:firstLine="480"/>
        <w:jc w:val="both"/>
        <w:rPr>
          <w:rFonts w:ascii="Times New Roman" w:eastAsia="宋体" w:cs="Times New Roman"/>
          <w:color w:val="auto"/>
          <w:kern w:val="2"/>
        </w:rPr>
      </w:pPr>
      <w:r>
        <w:t>本品适用于急性心肌梗死后心衰患者</w:t>
      </w:r>
    </w:p>
    <w:p w:rsidR="00F95A4C" w:rsidRPr="00062EA7" w:rsidRDefault="007F2F08" w:rsidP="0041494A">
      <w:pPr>
        <w:adjustRightInd w:val="0"/>
        <w:snapToGrid w:val="0"/>
        <w:spacing w:line="360" w:lineRule="auto"/>
        <w:outlineLvl w:val="1"/>
        <w:rPr>
          <w:b/>
          <w:sz w:val="24"/>
        </w:rPr>
      </w:pPr>
      <w:r>
        <w:t>2.6.1.5 药物的药理作用及作用机制</w:t>
      </w:r>
    </w:p>
    <w:p w:rsidR="00165C4F" w:rsidRPr="00F911C9" w:rsidRDefault="003511BC" w:rsidP="0041494A">
      <w:pPr>
        <w:pStyle w:val="Default"/>
        <w:snapToGrid w:val="0"/>
        <w:spacing w:line="360" w:lineRule="auto"/>
        <w:ind w:firstLineChars="200" w:firstLine="480"/>
        <w:jc w:val="both"/>
        <w:rPr>
          <w:rFonts w:ascii="Times New Roman" w:eastAsia="宋体" w:cs="Times New Roman"/>
          <w:color w:val="auto"/>
          <w:kern w:val="2"/>
        </w:rPr>
      </w:pPr>
      <w:r>
        <w:t>药理作用：DRUG001能强效的抑制ENPP1的酶活性，体外酶学水平活性抑制（对酶活性产生最大抑制作用的50%时对应的药物浓度），以ATP为底物时，IC50为3.65 nM；以TMP-pNP为底物时，IC50为0.18 nM；并且对ENPP2无明显抑制活性（IC50＞10 μM），选择性大于2741倍；对ENPP3的 IC50为2.89 nM（以TMP-pNP为底物时），选择性是16倍。在同样含有PDE结构域的PDE家族的21个靶点的抑制活性测试中，DRUG001在10 μM对这些酶靶点没有明显抑制作用。在同样以ATP为底物的Kinase家族的217个酶靶点的抑制活性测试中，DRUG001在1 μM对这些酶靶点没有明显抑制作用。在44个药物靶点的safety panel测试中，DRUG001在10 μM对这些靶点没有结合、激活或抑制作用。在细胞水平，DRUG001可以显著抑制内源性高表达ENPP1细胞的酶活，IC50为0.12 nM。体内药效研究中，DRUG001可剂量依赖的改善大鼠急性心肌梗死致心衰模型及小鼠心肌梗死致心衰模型的心脏功能和不良心脏重构，包括提高左心室射血分数，降低心肌纤维化，降低心体比，降低心衰生化指标NT-proBNP水平。其中大、小鼠急性心肌梗死致心衰模型的起效剂量最低可到3 mg/kg。药效伴随PK-PD研究显示，DRUG001灌胃给药后可以在体内较快的吸收，血浆的暴露量随剂量增加而增加。给药后血浆中乳清酸水平降低程度具有一定的剂量相关性。</w:t>
      </w:r>
    </w:p>
    <w:p w:rsidR="00970C7A" w:rsidRPr="00720AA4" w:rsidRDefault="003511BC" w:rsidP="00720AA4">
      <w:pPr>
        <w:spacing w:line="360" w:lineRule="auto"/>
        <w:ind w:firstLineChars="200" w:firstLine="480"/>
        <w:rPr>
          <w:rFonts w:eastAsiaTheme="minorEastAsia"/>
          <w:kern w:val="0"/>
          <w:sz w:val="24"/>
        </w:rPr>
      </w:pPr>
      <w:r>
        <w:t>作用机制：心脏损伤诱导损伤区域ENPP1的特异性且持续的高表达，该酶可特异性水解细胞外ATP产生AMP。作为对AMP的反应，心肌细胞释放腺嘌呤和特异性核糖核酸，在一磷酸乳清蛋白（OMP）合成步骤破坏嘧啶生物合成，并诱导DNA损伤和p53介导的循环非肌细胞的细胞死亡。由于非心肌细胞对心脏修复至关重要，研究发现通过靶向ENPP1/AMP途径来拯救嘧啶生物合成，可以增强心脏损伤后的修复和梗死后的心脏功能[3]。由于ENPP1抑制剂是针对细胞串扰的设计方式，可以使心脏中的多种细胞类型受益，包括心肌细胞、形成血管的内皮细胞和成纤维细胞，在发生心梗后关键的最初几天便可进行自我修复，增强心肌细胞呼吸，减少梗死心脏的细胞死亡和纤维化，挽救心脏功能障碍[2]。另一方面，ENPP1是一种在损伤后诱导并调节骨矿化的酶，其在损伤后钙化的心脏成纤维细胞中高表达。给予抑制ENPP1的小分子抑制剂可显著减少异位心脏钙化并保护损伤后的心脏功能[4]。总之，通过抑制ENPP1，代谢地重新编程肌细胞和非肌细胞，通过代谢组学、单核转录组学和细胞呼吸，诱导心脏的全器官代谢和转录重编程，从而增强心肌细胞呼吸，减少梗死心脏的细胞死亡和纤维化，从而促进心脏功能的修复作用，改善心脏功能。</w:t>
      </w:r>
    </w:p>
    <w:p w:rsidR="006800C0" w:rsidRPr="00485AD3" w:rsidRDefault="007F2F08" w:rsidP="00C3486F">
      <w:pPr>
        <w:adjustRightInd w:val="0"/>
        <w:snapToGrid w:val="0"/>
        <w:spacing w:line="360" w:lineRule="auto"/>
        <w:outlineLvl w:val="1"/>
        <w:rPr>
          <w:b/>
          <w:sz w:val="24"/>
        </w:rPr>
      </w:pPr>
      <w:r>
        <w:t>2.6.1.6 注册分类及注册阶段</w:t>
      </w:r>
    </w:p>
    <w:p w:rsidR="009C1814" w:rsidRPr="00485AD3" w:rsidRDefault="00B45289" w:rsidP="00720AA4">
      <w:pPr>
        <w:spacing w:line="360" w:lineRule="auto"/>
        <w:ind w:firstLineChars="200" w:firstLine="480"/>
        <w:rPr>
          <w:rFonts w:eastAsiaTheme="minorEastAsia"/>
          <w:kern w:val="0"/>
          <w:sz w:val="24"/>
        </w:rPr>
      </w:pPr>
      <w:r>
        <w:t>DRUG001为含有全新结构活性成分的创新药。按照药品注册管理办法，属注册分类1类。</w:t>
      </w:r>
    </w:p>
    <w:p w:rsidR="009C1814" w:rsidRPr="00485AD3" w:rsidRDefault="007F2F08" w:rsidP="0041494A">
      <w:pPr>
        <w:adjustRightInd w:val="0"/>
        <w:snapToGrid w:val="0"/>
        <w:spacing w:line="360" w:lineRule="auto"/>
        <w:outlineLvl w:val="1"/>
        <w:rPr>
          <w:b/>
          <w:sz w:val="24"/>
        </w:rPr>
      </w:pPr>
      <w:r>
        <w:t>2.6.1.7 参考文献</w:t>
      </w:r>
    </w:p>
    <w:p w:rsidR="00DB42BE" w:rsidRPr="000C1E30" w:rsidRDefault="00DB42BE" w:rsidP="007A1DDA">
      <w:pPr>
        <w:spacing w:line="360" w:lineRule="auto"/>
        <w:ind w:left="480" w:hangingChars="200" w:hanging="480"/>
        <w:rPr>
          <w:kern w:val="0"/>
          <w:sz w:val="24"/>
          <w:highlight w:val="yellow"/>
        </w:rPr>
      </w:pPr>
      <w:r>
        <w:t>[1]</w:t>
        <w:tab/>
        <w:t>Borza R, Salgado-Polo F, Moolenaar WH, Perrakis A. Structure and function of the ecto-nucleotide pyrophosphatase/phosphodiesterase (ENPP) family: Tidying up diversity. J Biol Chem. 2022 Feb;298(2):101526. doi: 10.1016/j.jbc.2021.101526. Epub 2021 Dec 24. PMID: 34958798; PMCID: PMC8808174.</w:t>
      </w:r>
    </w:p>
    <w:p w:rsidR="006214E9" w:rsidRPr="000C1E30" w:rsidRDefault="00DB42BE" w:rsidP="007A1DDA">
      <w:pPr>
        <w:spacing w:line="360" w:lineRule="auto"/>
        <w:ind w:left="480" w:hangingChars="200" w:hanging="480"/>
        <w:rPr>
          <w:kern w:val="0"/>
          <w:sz w:val="24"/>
        </w:rPr>
      </w:pPr>
      <w:r>
        <w:t>[2]</w:t>
        <w:tab/>
        <w:t>Li S, Tao B, Wan J, Montecino-Rodriguez E, Wang P, Ma F, Sun B, Gu Y, Ramadoss S, Su L, Sun Q, Hoeve JT, Stiles L, Collins J, van Dam RM, Tamboline M, Taschereau R, Shirihai O, Kitchen DB, Pellegrini M, Graeber T, Dorshkind K, Xu S, Deb A. A humanized monoclonal antibody targeting an ectonucleotidase rescues cardiac metabolism and heart function after myocardial infarction. Cell Rep Med. 2024 Oct 17:101795. doi: 10.1016/j.xcrm.2024.101795. Epub ahead of print. PMID: 39454569.</w:t>
      </w:r>
    </w:p>
    <w:p w:rsidR="006214E9" w:rsidRDefault="007C185F" w:rsidP="007A1DDA">
      <w:pPr>
        <w:spacing w:line="360" w:lineRule="auto"/>
        <w:ind w:left="480" w:hangingChars="200" w:hanging="480"/>
        <w:rPr>
          <w:kern w:val="0"/>
          <w:sz w:val="24"/>
        </w:rPr>
      </w:pPr>
      <w:r>
        <w:t xml:space="preserve">[3]  Li S, Yokota T, Wang P, Ten Hoeve J, Ma F, Le TM, Abt ER, Zhou Y, Wu R, Nanthavongdouangsy M, Rodriguez A, Wang Y, Lin YJ, Muranaka H, Sharpley M, Braddock DT, MacRae VE, Banerjee U, Chiou PY, Seldin M, Huang D, Teitell M, Gertsman I, Jung M, Bensinger SJ, Damoiseaux R, Faull K, Pellegrini M, Lusis AJ, Graeber TG, Radu CG, Deb A. Cardiomyocytes disrupt pyrimidine biosynthesis in nonmyocytes to regulate heart repair. J Clin Invest. 2022 Jan 18;132(2):e149711. doi: 10.1172/JCI149711. PMID: 34813507; PMCID: PMC8759793. </w:t>
      </w:r>
    </w:p>
    <w:p w:rsidR="00DB42BE" w:rsidRPr="000C1E30" w:rsidRDefault="00DB42BE" w:rsidP="007A1DDA">
      <w:pPr>
        <w:spacing w:line="360" w:lineRule="auto"/>
        <w:ind w:left="480" w:hangingChars="200" w:hanging="480"/>
        <w:rPr>
          <w:kern w:val="0"/>
          <w:sz w:val="24"/>
        </w:rPr>
      </w:pPr>
      <w:r>
        <w:t>[4]  Pillai ICL, Li S, Romay M, Lam L, Lu Y, Huang J, Dillard N, Zemanova M, Rubbi L, Wang Y, Lee J, Xia M, Liang O, Xie YH, Pellegrini M, Lusis AJ, Deb A. Cardiac Fibroblasts Adopt Osteogenic Fates and Can Be Targeted to Attenuate Pathological Heart Calcification. Cell Stem Cell. 2017 Feb 2;20(2):218-232.e5. doi: 10.1016/j.stem.2016.10.005. Epub 2016 Nov 17. PMID: 27867037; PMCID: PMC5291784.</w:t>
      </w:r>
    </w:p>
    <w:p w:rsidR="00B964AC" w:rsidRDefault="00B964AC" w:rsidP="0041494A">
      <w:pPr>
        <w:spacing w:line="360" w:lineRule="auto"/>
        <w:ind w:left="480" w:hangingChars="200" w:hanging="480"/>
        <w:jc w:val="left"/>
        <w:rPr>
          <w:kern w:val="0"/>
          <w:sz w:val="24"/>
          <w:highlight w:val="yellow"/>
        </w:rPr>
      </w:pPr>
      <w:r/>
    </w:p>
    <w:sectPr w:rsidR="00B964AC" w:rsidSect="005311F0">
      <w:headerReference w:type="default" r:id="rId13"/>
      <w:footerReference w:type="default" r:id="rId14"/>
      <w:pgSz w:w="11906" w:h="16838"/>
      <w:pgMar w:top="1418" w:right="1247" w:bottom="1134" w:left="1588" w:header="709" w:footer="70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F8" w:rsidRDefault="005A06F8" w:rsidP="00F95A4C">
      <w:r>
        <w:separator/>
      </w:r>
    </w:p>
  </w:endnote>
  <w:endnote w:type="continuationSeparator" w:id="0">
    <w:p w:rsidR="005A06F8" w:rsidRDefault="005A06F8" w:rsidP="00F9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TimesNewRomanPS-Bold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2108"/>
      <w:docPartObj>
        <w:docPartGallery w:val="Page Numbers (Bottom of Page)"/>
        <w:docPartUnique/>
      </w:docPartObj>
    </w:sdtPr>
    <w:sdtEndPr>
      <w:rPr>
        <w:sz w:val="21"/>
        <w:szCs w:val="21"/>
      </w:rPr>
    </w:sdtEndPr>
    <w:sdtContent>
      <w:sdt>
        <w:sdtPr>
          <w:rPr>
            <w:sz w:val="21"/>
          </w:rPr>
          <w:id w:val="-304467171"/>
          <w:docPartObj>
            <w:docPartGallery w:val="Page Numbers (Top of Page)"/>
            <w:docPartUnique/>
          </w:docPartObj>
        </w:sdtPr>
        <w:sdtEndPr>
          <w:rPr>
            <w:szCs w:val="21"/>
          </w:rPr>
        </w:sdtEndPr>
        <w:sdtContent>
          <w:p w:rsidR="00ED2967" w:rsidRPr="005311F0" w:rsidRDefault="005311F0" w:rsidP="00BE194B">
            <w:pPr>
              <w:pStyle w:val="a4"/>
              <w:rPr>
                <w:szCs w:val="21"/>
              </w:rPr>
            </w:pPr>
            <w:r w:rsidRPr="00B23B3A">
              <w:rPr>
                <w:rFonts w:hint="eastAsia"/>
                <w:sz w:val="21"/>
                <w:lang w:val="zh-CN"/>
              </w:rPr>
              <w:t>机密</w:t>
            </w:r>
            <w:r w:rsidR="00751E06">
              <w:rPr>
                <w:sz w:val="21"/>
                <w:lang w:val="zh-CN"/>
              </w:rPr>
              <w:t xml:space="preserve">                </w:t>
            </w:r>
            <w:r w:rsidR="00BE194B">
              <w:rPr>
                <w:sz w:val="21"/>
                <w:lang w:val="zh-CN"/>
              </w:rPr>
              <w:t xml:space="preserve">              </w:t>
            </w:r>
            <w:r w:rsidR="00751E06">
              <w:rPr>
                <w:sz w:val="21"/>
                <w:lang w:val="zh-CN"/>
              </w:rPr>
              <w:t xml:space="preserve"> </w:t>
            </w:r>
            <w:r w:rsidRPr="00B23B3A">
              <w:rPr>
                <w:rFonts w:hint="eastAsia"/>
                <w:sz w:val="21"/>
                <w:lang w:val="zh-CN"/>
              </w:rPr>
              <w:t>第</w:t>
            </w:r>
            <w:r w:rsidRPr="00B23B3A">
              <w:rPr>
                <w:sz w:val="21"/>
                <w:szCs w:val="21"/>
              </w:rPr>
              <w:fldChar w:fldCharType="begin"/>
            </w:r>
            <w:r w:rsidRPr="00B23B3A">
              <w:rPr>
                <w:sz w:val="21"/>
                <w:szCs w:val="21"/>
              </w:rPr>
              <w:instrText>PAGE</w:instrText>
            </w:r>
            <w:r w:rsidRPr="00B23B3A">
              <w:rPr>
                <w:sz w:val="21"/>
                <w:szCs w:val="21"/>
              </w:rPr>
              <w:fldChar w:fldCharType="separate"/>
            </w:r>
            <w:r w:rsidR="00266455">
              <w:rPr>
                <w:noProof/>
                <w:sz w:val="21"/>
                <w:szCs w:val="21"/>
              </w:rPr>
              <w:t>1</w:t>
            </w:r>
            <w:r w:rsidRPr="00B23B3A">
              <w:rPr>
                <w:sz w:val="21"/>
                <w:szCs w:val="21"/>
              </w:rPr>
              <w:fldChar w:fldCharType="end"/>
            </w:r>
            <w:r w:rsidR="00BE194B">
              <w:rPr>
                <w:sz w:val="21"/>
                <w:szCs w:val="21"/>
              </w:rPr>
              <w:t>页</w:t>
            </w:r>
            <w:r w:rsidRPr="00B23B3A">
              <w:rPr>
                <w:sz w:val="21"/>
                <w:szCs w:val="21"/>
                <w:lang w:val="zh-CN"/>
              </w:rPr>
              <w:t xml:space="preserve"> / </w:t>
            </w:r>
            <w:r w:rsidR="00BE194B">
              <w:rPr>
                <w:sz w:val="21"/>
                <w:szCs w:val="21"/>
                <w:lang w:val="zh-CN"/>
              </w:rPr>
              <w:t>共</w:t>
            </w:r>
            <w:r w:rsidRPr="00B23B3A">
              <w:rPr>
                <w:sz w:val="21"/>
                <w:szCs w:val="21"/>
              </w:rPr>
              <w:fldChar w:fldCharType="begin"/>
            </w:r>
            <w:r w:rsidRPr="00B23B3A">
              <w:rPr>
                <w:sz w:val="21"/>
                <w:szCs w:val="21"/>
              </w:rPr>
              <w:instrText xml:space="preserve"> </w:instrText>
            </w:r>
            <w:r w:rsidRPr="00B23B3A">
              <w:rPr>
                <w:rFonts w:hint="eastAsia"/>
                <w:sz w:val="21"/>
                <w:szCs w:val="21"/>
              </w:rPr>
              <w:instrText>=</w:instrText>
            </w:r>
            <w:r w:rsidRPr="00B23B3A">
              <w:rPr>
                <w:sz w:val="21"/>
                <w:szCs w:val="21"/>
              </w:rPr>
              <w:fldChar w:fldCharType="begin"/>
            </w:r>
            <w:r w:rsidRPr="00B23B3A">
              <w:rPr>
                <w:sz w:val="21"/>
                <w:szCs w:val="21"/>
              </w:rPr>
              <w:instrText xml:space="preserve"> </w:instrText>
            </w:r>
            <w:r w:rsidR="00751E06">
              <w:rPr>
                <w:rFonts w:hint="eastAsia"/>
                <w:sz w:val="21"/>
                <w:szCs w:val="21"/>
              </w:rPr>
              <w:instrText>num</w:instrText>
            </w:r>
            <w:r w:rsidRPr="00B23B3A">
              <w:rPr>
                <w:rFonts w:hint="eastAsia"/>
                <w:sz w:val="21"/>
                <w:szCs w:val="21"/>
              </w:rPr>
              <w:instrText>pages</w:instrText>
            </w:r>
            <w:r w:rsidRPr="00B23B3A">
              <w:rPr>
                <w:sz w:val="21"/>
                <w:szCs w:val="21"/>
              </w:rPr>
              <w:instrText xml:space="preserve"> </w:instrText>
            </w:r>
            <w:r w:rsidRPr="00B23B3A">
              <w:rPr>
                <w:sz w:val="21"/>
                <w:szCs w:val="21"/>
              </w:rPr>
              <w:fldChar w:fldCharType="separate"/>
            </w:r>
            <w:r w:rsidR="00266455">
              <w:rPr>
                <w:noProof/>
                <w:sz w:val="21"/>
                <w:szCs w:val="21"/>
              </w:rPr>
              <w:instrText>9</w:instrText>
            </w:r>
            <w:r w:rsidRPr="00B23B3A">
              <w:rPr>
                <w:sz w:val="21"/>
                <w:szCs w:val="21"/>
              </w:rPr>
              <w:fldChar w:fldCharType="end"/>
            </w:r>
            <w:r w:rsidRPr="00B23B3A">
              <w:rPr>
                <w:sz w:val="21"/>
                <w:szCs w:val="21"/>
              </w:rPr>
              <w:instrText xml:space="preserve"> </w:instrText>
            </w:r>
            <w:r w:rsidRPr="00B23B3A">
              <w:rPr>
                <w:sz w:val="21"/>
                <w:szCs w:val="21"/>
              </w:rPr>
              <w:fldChar w:fldCharType="separate"/>
            </w:r>
            <w:r w:rsidR="00266455">
              <w:rPr>
                <w:noProof/>
                <w:sz w:val="21"/>
                <w:szCs w:val="21"/>
              </w:rPr>
              <w:t>9</w:t>
            </w:r>
            <w:r w:rsidRPr="00B23B3A">
              <w:rPr>
                <w:sz w:val="21"/>
                <w:szCs w:val="21"/>
              </w:rPr>
              <w:fldChar w:fldCharType="end"/>
            </w:r>
            <w:r w:rsidRPr="00B23B3A">
              <w:rPr>
                <w:sz w:val="21"/>
                <w:szCs w:val="21"/>
              </w:rPr>
              <w:t>页</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72954"/>
      <w:docPartObj>
        <w:docPartGallery w:val="Page Numbers (Bottom of Page)"/>
        <w:docPartUnique/>
      </w:docPartObj>
    </w:sdtPr>
    <w:sdtEndPr>
      <w:rPr>
        <w:sz w:val="21"/>
        <w:szCs w:val="21"/>
      </w:rPr>
    </w:sdtEndPr>
    <w:sdtContent>
      <w:sdt>
        <w:sdtPr>
          <w:rPr>
            <w:sz w:val="21"/>
          </w:rPr>
          <w:id w:val="-1870127871"/>
          <w:docPartObj>
            <w:docPartGallery w:val="Page Numbers (Top of Page)"/>
            <w:docPartUnique/>
          </w:docPartObj>
        </w:sdtPr>
        <w:sdtEndPr>
          <w:rPr>
            <w:szCs w:val="21"/>
          </w:rPr>
        </w:sdtEndPr>
        <w:sdtContent>
          <w:p w:rsidR="00A70BF1" w:rsidRPr="005311F0" w:rsidRDefault="00A70BF1" w:rsidP="00192D85">
            <w:pPr>
              <w:pStyle w:val="a4"/>
              <w:rPr>
                <w:szCs w:val="21"/>
              </w:rPr>
            </w:pPr>
            <w:r>
              <w:rPr>
                <w:sz w:val="21"/>
                <w:lang w:val="zh-CN"/>
              </w:rPr>
              <w:t xml:space="preserve">                                                                 </w:t>
            </w:r>
            <w:r w:rsidR="00192D85">
              <w:rPr>
                <w:sz w:val="21"/>
                <w:lang w:val="zh-CN"/>
              </w:rPr>
              <w:t xml:space="preserve">                             </w:t>
            </w:r>
            <w:r w:rsidR="00192D85" w:rsidRPr="00B23B3A">
              <w:rPr>
                <w:rFonts w:hint="eastAsia"/>
                <w:sz w:val="21"/>
                <w:lang w:val="zh-CN"/>
              </w:rPr>
              <w:t>机密</w:t>
            </w:r>
            <w:r w:rsidR="00192D85">
              <w:rPr>
                <w:sz w:val="21"/>
                <w:lang w:val="zh-CN"/>
              </w:rPr>
              <w:t xml:space="preserve">                                     </w:t>
            </w:r>
            <w:r w:rsidR="00192D85" w:rsidRPr="00B23B3A">
              <w:rPr>
                <w:rFonts w:hint="eastAsia"/>
                <w:sz w:val="21"/>
                <w:lang w:val="zh-CN"/>
              </w:rPr>
              <w:t>第</w:t>
            </w:r>
            <w:r w:rsidR="00192D85" w:rsidRPr="00B23B3A">
              <w:rPr>
                <w:sz w:val="21"/>
                <w:szCs w:val="21"/>
              </w:rPr>
              <w:fldChar w:fldCharType="begin"/>
            </w:r>
            <w:r w:rsidR="00192D85" w:rsidRPr="00B23B3A">
              <w:rPr>
                <w:sz w:val="21"/>
                <w:szCs w:val="21"/>
              </w:rPr>
              <w:instrText>PAGE</w:instrText>
            </w:r>
            <w:r w:rsidR="00192D85" w:rsidRPr="00B23B3A">
              <w:rPr>
                <w:sz w:val="21"/>
                <w:szCs w:val="21"/>
              </w:rPr>
              <w:fldChar w:fldCharType="separate"/>
            </w:r>
            <w:r w:rsidR="00266455">
              <w:rPr>
                <w:noProof/>
                <w:sz w:val="21"/>
                <w:szCs w:val="21"/>
              </w:rPr>
              <w:t>6</w:t>
            </w:r>
            <w:r w:rsidR="00192D85" w:rsidRPr="00B23B3A">
              <w:rPr>
                <w:sz w:val="21"/>
                <w:szCs w:val="21"/>
              </w:rPr>
              <w:fldChar w:fldCharType="end"/>
            </w:r>
            <w:r w:rsidR="00192D85" w:rsidRPr="00B23B3A">
              <w:rPr>
                <w:sz w:val="21"/>
                <w:szCs w:val="21"/>
                <w:lang w:val="zh-CN"/>
              </w:rPr>
              <w:t xml:space="preserve"> </w:t>
            </w:r>
            <w:r w:rsidR="00192D85">
              <w:rPr>
                <w:sz w:val="21"/>
                <w:szCs w:val="21"/>
                <w:lang w:val="zh-CN"/>
              </w:rPr>
              <w:t>页</w:t>
            </w:r>
            <w:r w:rsidR="00192D85">
              <w:rPr>
                <w:rFonts w:hint="eastAsia"/>
                <w:sz w:val="21"/>
                <w:szCs w:val="21"/>
                <w:lang w:val="zh-CN"/>
              </w:rPr>
              <w:t xml:space="preserve"> </w:t>
            </w:r>
            <w:r w:rsidR="00192D85" w:rsidRPr="00B23B3A">
              <w:rPr>
                <w:sz w:val="21"/>
                <w:szCs w:val="21"/>
                <w:lang w:val="zh-CN"/>
              </w:rPr>
              <w:t>/</w:t>
            </w:r>
            <w:r w:rsidR="00192D85">
              <w:rPr>
                <w:sz w:val="21"/>
                <w:szCs w:val="21"/>
                <w:lang w:val="zh-CN"/>
              </w:rPr>
              <w:t xml:space="preserve"> </w:t>
            </w:r>
            <w:r w:rsidR="00192D85">
              <w:rPr>
                <w:sz w:val="21"/>
                <w:szCs w:val="21"/>
                <w:lang w:val="zh-CN"/>
              </w:rPr>
              <w:t>共</w:t>
            </w:r>
            <w:r w:rsidR="00192D85" w:rsidRPr="00B23B3A">
              <w:rPr>
                <w:sz w:val="21"/>
                <w:szCs w:val="21"/>
              </w:rPr>
              <w:fldChar w:fldCharType="begin"/>
            </w:r>
            <w:r w:rsidR="00192D85" w:rsidRPr="00B23B3A">
              <w:rPr>
                <w:sz w:val="21"/>
                <w:szCs w:val="21"/>
              </w:rPr>
              <w:instrText xml:space="preserve"> </w:instrText>
            </w:r>
            <w:r w:rsidR="00192D85" w:rsidRPr="00B23B3A">
              <w:rPr>
                <w:rFonts w:hint="eastAsia"/>
                <w:sz w:val="21"/>
                <w:szCs w:val="21"/>
              </w:rPr>
              <w:instrText>=</w:instrText>
            </w:r>
            <w:r w:rsidR="00192D85" w:rsidRPr="00B23B3A">
              <w:rPr>
                <w:sz w:val="21"/>
                <w:szCs w:val="21"/>
              </w:rPr>
              <w:fldChar w:fldCharType="begin"/>
            </w:r>
            <w:r w:rsidR="00192D85" w:rsidRPr="00B23B3A">
              <w:rPr>
                <w:sz w:val="21"/>
                <w:szCs w:val="21"/>
              </w:rPr>
              <w:instrText xml:space="preserve"> </w:instrText>
            </w:r>
            <w:r w:rsidR="00192D85">
              <w:rPr>
                <w:sz w:val="21"/>
                <w:szCs w:val="21"/>
              </w:rPr>
              <w:instrText>num</w:instrText>
            </w:r>
            <w:r w:rsidR="00192D85" w:rsidRPr="00B23B3A">
              <w:rPr>
                <w:rFonts w:hint="eastAsia"/>
                <w:sz w:val="21"/>
                <w:szCs w:val="21"/>
              </w:rPr>
              <w:instrText>pages</w:instrText>
            </w:r>
            <w:r w:rsidR="00192D85" w:rsidRPr="00B23B3A">
              <w:rPr>
                <w:sz w:val="21"/>
                <w:szCs w:val="21"/>
              </w:rPr>
              <w:instrText xml:space="preserve"> </w:instrText>
            </w:r>
            <w:r w:rsidR="00192D85" w:rsidRPr="00B23B3A">
              <w:rPr>
                <w:sz w:val="21"/>
                <w:szCs w:val="21"/>
              </w:rPr>
              <w:fldChar w:fldCharType="separate"/>
            </w:r>
            <w:r w:rsidR="00266455">
              <w:rPr>
                <w:noProof/>
                <w:sz w:val="21"/>
                <w:szCs w:val="21"/>
              </w:rPr>
              <w:instrText>9</w:instrText>
            </w:r>
            <w:r w:rsidR="00192D85" w:rsidRPr="00B23B3A">
              <w:rPr>
                <w:sz w:val="21"/>
                <w:szCs w:val="21"/>
              </w:rPr>
              <w:fldChar w:fldCharType="end"/>
            </w:r>
            <w:r w:rsidR="00192D85" w:rsidRPr="00B23B3A">
              <w:rPr>
                <w:sz w:val="21"/>
                <w:szCs w:val="21"/>
              </w:rPr>
              <w:instrText xml:space="preserve"> </w:instrText>
            </w:r>
            <w:r w:rsidR="00192D85" w:rsidRPr="00B23B3A">
              <w:rPr>
                <w:sz w:val="21"/>
                <w:szCs w:val="21"/>
              </w:rPr>
              <w:fldChar w:fldCharType="separate"/>
            </w:r>
            <w:r w:rsidR="00266455">
              <w:rPr>
                <w:noProof/>
                <w:sz w:val="21"/>
                <w:szCs w:val="21"/>
              </w:rPr>
              <w:t>9</w:t>
            </w:r>
            <w:r w:rsidR="00192D85" w:rsidRPr="00B23B3A">
              <w:rPr>
                <w:sz w:val="21"/>
                <w:szCs w:val="21"/>
              </w:rPr>
              <w:fldChar w:fldCharType="end"/>
            </w:r>
            <w:r w:rsidR="00192D85" w:rsidRPr="00B23B3A">
              <w:rPr>
                <w:sz w:val="21"/>
                <w:szCs w:val="21"/>
              </w:rPr>
              <w:t>页</w:t>
            </w:r>
            <w:r w:rsidR="00192D85">
              <w:rPr>
                <w:sz w:val="21"/>
                <w:lang w:val="zh-CN"/>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415425"/>
      <w:docPartObj>
        <w:docPartGallery w:val="Page Numbers (Bottom of Page)"/>
        <w:docPartUnique/>
      </w:docPartObj>
    </w:sdtPr>
    <w:sdtEndPr>
      <w:rPr>
        <w:sz w:val="21"/>
        <w:szCs w:val="21"/>
      </w:rPr>
    </w:sdtEndPr>
    <w:sdtContent>
      <w:p w:rsidR="00A70BF1" w:rsidRPr="00192D85" w:rsidRDefault="005A06F8" w:rsidP="005311F0">
        <w:pPr>
          <w:pStyle w:val="a4"/>
          <w:jc w:val="both"/>
          <w:rPr>
            <w:sz w:val="21"/>
            <w:szCs w:val="21"/>
          </w:rPr>
        </w:pPr>
        <w:sdt>
          <w:sdtPr>
            <w:rPr>
              <w:sz w:val="21"/>
            </w:rPr>
            <w:id w:val="711928770"/>
            <w:docPartObj>
              <w:docPartGallery w:val="Page Numbers (Top of Page)"/>
              <w:docPartUnique/>
            </w:docPartObj>
          </w:sdtPr>
          <w:sdtEndPr>
            <w:rPr>
              <w:szCs w:val="21"/>
            </w:rPr>
          </w:sdtEndPr>
          <w:sdtContent>
            <w:r w:rsidR="00192D85" w:rsidRPr="00B23B3A">
              <w:rPr>
                <w:rFonts w:hint="eastAsia"/>
                <w:sz w:val="21"/>
                <w:lang w:val="zh-CN"/>
              </w:rPr>
              <w:t>机密</w:t>
            </w:r>
            <w:r w:rsidR="00192D85">
              <w:rPr>
                <w:sz w:val="21"/>
                <w:lang w:val="zh-CN"/>
              </w:rPr>
              <w:t xml:space="preserve">                            </w:t>
            </w:r>
            <w:r w:rsidR="00192D85" w:rsidRPr="00B23B3A">
              <w:rPr>
                <w:rFonts w:hint="eastAsia"/>
                <w:sz w:val="21"/>
                <w:lang w:val="zh-CN"/>
              </w:rPr>
              <w:t>第</w:t>
            </w:r>
            <w:r w:rsidR="00192D85" w:rsidRPr="00B23B3A">
              <w:rPr>
                <w:sz w:val="21"/>
                <w:szCs w:val="21"/>
              </w:rPr>
              <w:fldChar w:fldCharType="begin"/>
            </w:r>
            <w:r w:rsidR="00192D85" w:rsidRPr="00B23B3A">
              <w:rPr>
                <w:sz w:val="21"/>
                <w:szCs w:val="21"/>
              </w:rPr>
              <w:instrText>PAGE</w:instrText>
            </w:r>
            <w:r w:rsidR="00192D85" w:rsidRPr="00B23B3A">
              <w:rPr>
                <w:sz w:val="21"/>
                <w:szCs w:val="21"/>
              </w:rPr>
              <w:fldChar w:fldCharType="separate"/>
            </w:r>
            <w:r w:rsidR="00266455">
              <w:rPr>
                <w:noProof/>
                <w:sz w:val="21"/>
                <w:szCs w:val="21"/>
              </w:rPr>
              <w:t>7</w:t>
            </w:r>
            <w:r w:rsidR="00192D85" w:rsidRPr="00B23B3A">
              <w:rPr>
                <w:sz w:val="21"/>
                <w:szCs w:val="21"/>
              </w:rPr>
              <w:fldChar w:fldCharType="end"/>
            </w:r>
            <w:r w:rsidR="00192D85">
              <w:rPr>
                <w:sz w:val="21"/>
                <w:szCs w:val="21"/>
              </w:rPr>
              <w:t>页</w:t>
            </w:r>
            <w:r w:rsidR="00192D85" w:rsidRPr="00B23B3A">
              <w:rPr>
                <w:sz w:val="21"/>
                <w:szCs w:val="21"/>
                <w:lang w:val="zh-CN"/>
              </w:rPr>
              <w:t xml:space="preserve"> /</w:t>
            </w:r>
            <w:r w:rsidR="00192D85">
              <w:rPr>
                <w:sz w:val="21"/>
                <w:szCs w:val="21"/>
                <w:lang w:val="zh-CN"/>
              </w:rPr>
              <w:t xml:space="preserve"> </w:t>
            </w:r>
            <w:r w:rsidR="00192D85">
              <w:rPr>
                <w:sz w:val="21"/>
                <w:szCs w:val="21"/>
                <w:lang w:val="zh-CN"/>
              </w:rPr>
              <w:t>共</w:t>
            </w:r>
            <w:r w:rsidR="00192D85" w:rsidRPr="00B23B3A">
              <w:rPr>
                <w:sz w:val="21"/>
                <w:szCs w:val="21"/>
              </w:rPr>
              <w:fldChar w:fldCharType="begin"/>
            </w:r>
            <w:r w:rsidR="00192D85" w:rsidRPr="00B23B3A">
              <w:rPr>
                <w:sz w:val="21"/>
                <w:szCs w:val="21"/>
              </w:rPr>
              <w:instrText xml:space="preserve"> </w:instrText>
            </w:r>
            <w:r w:rsidR="00192D85" w:rsidRPr="00B23B3A">
              <w:rPr>
                <w:rFonts w:hint="eastAsia"/>
                <w:sz w:val="21"/>
                <w:szCs w:val="21"/>
              </w:rPr>
              <w:instrText>=</w:instrText>
            </w:r>
            <w:r w:rsidR="00192D85">
              <w:rPr>
                <w:sz w:val="21"/>
                <w:szCs w:val="21"/>
              </w:rPr>
              <w:fldChar w:fldCharType="begin"/>
            </w:r>
            <w:r w:rsidR="00192D85">
              <w:rPr>
                <w:sz w:val="21"/>
                <w:szCs w:val="21"/>
              </w:rPr>
              <w:instrText xml:space="preserve"> NUMPAGES  </w:instrText>
            </w:r>
            <w:r w:rsidR="00192D85">
              <w:rPr>
                <w:sz w:val="21"/>
                <w:szCs w:val="21"/>
              </w:rPr>
              <w:fldChar w:fldCharType="separate"/>
            </w:r>
            <w:r w:rsidR="00266455">
              <w:rPr>
                <w:noProof/>
                <w:sz w:val="21"/>
                <w:szCs w:val="21"/>
              </w:rPr>
              <w:instrText>9</w:instrText>
            </w:r>
            <w:r w:rsidR="00192D85">
              <w:rPr>
                <w:sz w:val="21"/>
                <w:szCs w:val="21"/>
              </w:rPr>
              <w:fldChar w:fldCharType="end"/>
            </w:r>
            <w:r w:rsidR="00192D85" w:rsidRPr="00B23B3A">
              <w:rPr>
                <w:sz w:val="21"/>
                <w:szCs w:val="21"/>
              </w:rPr>
              <w:instrText xml:space="preserve"> </w:instrText>
            </w:r>
            <w:r w:rsidR="00192D85" w:rsidRPr="00B23B3A">
              <w:rPr>
                <w:sz w:val="21"/>
                <w:szCs w:val="21"/>
              </w:rPr>
              <w:fldChar w:fldCharType="separate"/>
            </w:r>
            <w:r w:rsidR="00266455">
              <w:rPr>
                <w:noProof/>
                <w:sz w:val="21"/>
                <w:szCs w:val="21"/>
              </w:rPr>
              <w:t>9</w:t>
            </w:r>
            <w:r w:rsidR="00192D85" w:rsidRPr="00B23B3A">
              <w:rPr>
                <w:sz w:val="21"/>
                <w:szCs w:val="21"/>
              </w:rPr>
              <w:fldChar w:fldCharType="end"/>
            </w:r>
          </w:sdtContent>
        </w:sdt>
        <w:r w:rsidR="00192D85">
          <w:rPr>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F8" w:rsidRDefault="005A06F8" w:rsidP="00F95A4C">
      <w:r>
        <w:separator/>
      </w:r>
    </w:p>
  </w:footnote>
  <w:footnote w:type="continuationSeparator" w:id="0">
    <w:p w:rsidR="005A06F8" w:rsidRDefault="005A06F8" w:rsidP="00F95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F0" w:rsidRPr="00B23B3A" w:rsidRDefault="005311F0" w:rsidP="005311F0">
    <w:pPr>
      <w:pStyle w:val="a3"/>
      <w:jc w:val="both"/>
      <w:rPr>
        <w:sz w:val="21"/>
        <w:szCs w:val="21"/>
      </w:rPr>
    </w:pPr>
    <w:r>
      <w:t>DRUG001片</w:t>
      <w:tab/>
      <w:tab/>
      <w:t xml:space="preserve">2.6.1前言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F1" w:rsidRPr="00B23B3A" w:rsidRDefault="00A70BF1" w:rsidP="005311F0">
    <w:pPr>
      <w:pStyle w:val="a3"/>
      <w:jc w:val="both"/>
      <w:rPr>
        <w:sz w:val="21"/>
        <w:szCs w:val="21"/>
      </w:rPr>
    </w:pPr>
    <w:r>
      <w:t>DRUG001片</w:t>
      <w:tab/>
      <w:tab/>
      <w:t>2.6.1前言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F1" w:rsidRPr="00B23B3A" w:rsidRDefault="00A70BF1" w:rsidP="005311F0">
    <w:pPr>
      <w:pStyle w:val="a3"/>
      <w:jc w:val="both"/>
      <w:rPr>
        <w:sz w:val="21"/>
        <w:szCs w:val="21"/>
      </w:rPr>
    </w:pPr>
    <w:r>
      <w:t>DRUG001片                                                                   2.6.1前言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6EE4"/>
    <w:multiLevelType w:val="multilevel"/>
    <w:tmpl w:val="EACE938A"/>
    <w:lvl w:ilvl="0">
      <w:start w:val="2"/>
      <w:numFmt w:val="decimal"/>
      <w:lvlText w:val="%1"/>
      <w:lvlJc w:val="left"/>
      <w:pPr>
        <w:tabs>
          <w:tab w:val="num" w:pos="360"/>
        </w:tabs>
        <w:ind w:left="360" w:hanging="360"/>
      </w:pPr>
      <w:rPr>
        <w:rFonts w:hint="default"/>
        <w:color w:val="008000"/>
      </w:rPr>
    </w:lvl>
    <w:lvl w:ilvl="1">
      <w:start w:val="4"/>
      <w:numFmt w:val="decimal"/>
      <w:lvlText w:val="%1.%2"/>
      <w:lvlJc w:val="left"/>
      <w:pPr>
        <w:tabs>
          <w:tab w:val="num" w:pos="360"/>
        </w:tabs>
        <w:ind w:left="360" w:hanging="360"/>
      </w:pPr>
      <w:rPr>
        <w:rFonts w:hint="default"/>
        <w:color w:val="008000"/>
      </w:rPr>
    </w:lvl>
    <w:lvl w:ilvl="2">
      <w:start w:val="1"/>
      <w:numFmt w:val="decimal"/>
      <w:lvlText w:val="%1.%2.%3"/>
      <w:lvlJc w:val="left"/>
      <w:pPr>
        <w:tabs>
          <w:tab w:val="num" w:pos="720"/>
        </w:tabs>
        <w:ind w:left="720" w:hanging="720"/>
      </w:pPr>
      <w:rPr>
        <w:rFonts w:hint="default"/>
        <w:color w:val="008000"/>
      </w:rPr>
    </w:lvl>
    <w:lvl w:ilvl="3">
      <w:start w:val="1"/>
      <w:numFmt w:val="decimal"/>
      <w:lvlText w:val="%1.%2.%3.%4"/>
      <w:lvlJc w:val="left"/>
      <w:pPr>
        <w:tabs>
          <w:tab w:val="num" w:pos="1080"/>
        </w:tabs>
        <w:ind w:left="1080" w:hanging="1080"/>
      </w:pPr>
      <w:rPr>
        <w:rFonts w:hint="default"/>
        <w:color w:val="008000"/>
      </w:rPr>
    </w:lvl>
    <w:lvl w:ilvl="4">
      <w:start w:val="1"/>
      <w:numFmt w:val="decimal"/>
      <w:lvlText w:val="%1.%2.%3.%4.%5"/>
      <w:lvlJc w:val="left"/>
      <w:pPr>
        <w:tabs>
          <w:tab w:val="num" w:pos="1080"/>
        </w:tabs>
        <w:ind w:left="1080" w:hanging="1080"/>
      </w:pPr>
      <w:rPr>
        <w:rFonts w:hint="default"/>
        <w:color w:val="008000"/>
      </w:rPr>
    </w:lvl>
    <w:lvl w:ilvl="5">
      <w:start w:val="1"/>
      <w:numFmt w:val="decimal"/>
      <w:lvlText w:val="%1.%2.%3.%4.%5.%6"/>
      <w:lvlJc w:val="left"/>
      <w:pPr>
        <w:tabs>
          <w:tab w:val="num" w:pos="1440"/>
        </w:tabs>
        <w:ind w:left="1440" w:hanging="1440"/>
      </w:pPr>
      <w:rPr>
        <w:rFonts w:hint="default"/>
        <w:color w:val="008000"/>
      </w:rPr>
    </w:lvl>
    <w:lvl w:ilvl="6">
      <w:start w:val="1"/>
      <w:numFmt w:val="decimal"/>
      <w:lvlText w:val="%1.%2.%3.%4.%5.%6.%7"/>
      <w:lvlJc w:val="left"/>
      <w:pPr>
        <w:tabs>
          <w:tab w:val="num" w:pos="1800"/>
        </w:tabs>
        <w:ind w:left="1800" w:hanging="1800"/>
      </w:pPr>
      <w:rPr>
        <w:rFonts w:hint="default"/>
        <w:color w:val="008000"/>
      </w:rPr>
    </w:lvl>
    <w:lvl w:ilvl="7">
      <w:start w:val="1"/>
      <w:numFmt w:val="decimal"/>
      <w:lvlText w:val="%1.%2.%3.%4.%5.%6.%7.%8"/>
      <w:lvlJc w:val="left"/>
      <w:pPr>
        <w:tabs>
          <w:tab w:val="num" w:pos="1800"/>
        </w:tabs>
        <w:ind w:left="1800" w:hanging="1800"/>
      </w:pPr>
      <w:rPr>
        <w:rFonts w:hint="default"/>
        <w:color w:val="008000"/>
      </w:rPr>
    </w:lvl>
    <w:lvl w:ilvl="8">
      <w:start w:val="1"/>
      <w:numFmt w:val="decimal"/>
      <w:lvlText w:val="%1.%2.%3.%4.%5.%6.%7.%8.%9"/>
      <w:lvlJc w:val="left"/>
      <w:pPr>
        <w:tabs>
          <w:tab w:val="num" w:pos="2160"/>
        </w:tabs>
        <w:ind w:left="2160" w:hanging="2160"/>
      </w:pPr>
      <w:rPr>
        <w:rFonts w:hint="default"/>
        <w:color w:val="008000"/>
      </w:rPr>
    </w:lvl>
  </w:abstractNum>
  <w:abstractNum w:abstractNumId="1">
    <w:nsid w:val="76641FCC"/>
    <w:multiLevelType w:val="hybridMultilevel"/>
    <w:tmpl w:val="AD12004C"/>
    <w:lvl w:ilvl="0" w:tplc="6742EA64">
      <w:start w:val="1"/>
      <w:numFmt w:val="decimal"/>
      <w:lvlText w:val="2.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5A4C"/>
    <w:rsid w:val="000011D7"/>
    <w:rsid w:val="000025BF"/>
    <w:rsid w:val="000116F6"/>
    <w:rsid w:val="00014D8C"/>
    <w:rsid w:val="00027168"/>
    <w:rsid w:val="000358C9"/>
    <w:rsid w:val="0003649B"/>
    <w:rsid w:val="00036580"/>
    <w:rsid w:val="00047586"/>
    <w:rsid w:val="00053FE0"/>
    <w:rsid w:val="00062EA7"/>
    <w:rsid w:val="00071A41"/>
    <w:rsid w:val="000721C6"/>
    <w:rsid w:val="000816D0"/>
    <w:rsid w:val="00091A8E"/>
    <w:rsid w:val="000A3A09"/>
    <w:rsid w:val="000B6DF3"/>
    <w:rsid w:val="000B7943"/>
    <w:rsid w:val="000C219C"/>
    <w:rsid w:val="000C785A"/>
    <w:rsid w:val="000E3A67"/>
    <w:rsid w:val="000E4E70"/>
    <w:rsid w:val="000E6EA8"/>
    <w:rsid w:val="00102F71"/>
    <w:rsid w:val="00107729"/>
    <w:rsid w:val="00107A72"/>
    <w:rsid w:val="00111624"/>
    <w:rsid w:val="00113E1F"/>
    <w:rsid w:val="00117975"/>
    <w:rsid w:val="00117D91"/>
    <w:rsid w:val="00125157"/>
    <w:rsid w:val="00140E1A"/>
    <w:rsid w:val="0015044A"/>
    <w:rsid w:val="00150D5B"/>
    <w:rsid w:val="001615C1"/>
    <w:rsid w:val="0016376C"/>
    <w:rsid w:val="00165C4F"/>
    <w:rsid w:val="0016652B"/>
    <w:rsid w:val="0017155E"/>
    <w:rsid w:val="00174DCE"/>
    <w:rsid w:val="00182584"/>
    <w:rsid w:val="00187000"/>
    <w:rsid w:val="00192D85"/>
    <w:rsid w:val="00194409"/>
    <w:rsid w:val="0019556E"/>
    <w:rsid w:val="001C35B4"/>
    <w:rsid w:val="001C43FF"/>
    <w:rsid w:val="001D06FC"/>
    <w:rsid w:val="001E1487"/>
    <w:rsid w:val="001E14F8"/>
    <w:rsid w:val="001E1B27"/>
    <w:rsid w:val="001E5638"/>
    <w:rsid w:val="001F4845"/>
    <w:rsid w:val="00201806"/>
    <w:rsid w:val="002064A9"/>
    <w:rsid w:val="00222780"/>
    <w:rsid w:val="00231196"/>
    <w:rsid w:val="00233F30"/>
    <w:rsid w:val="002419FE"/>
    <w:rsid w:val="00242676"/>
    <w:rsid w:val="00242E22"/>
    <w:rsid w:val="002621EE"/>
    <w:rsid w:val="00266455"/>
    <w:rsid w:val="0027462B"/>
    <w:rsid w:val="00281DE9"/>
    <w:rsid w:val="002875BE"/>
    <w:rsid w:val="002877C5"/>
    <w:rsid w:val="00292ACD"/>
    <w:rsid w:val="00294763"/>
    <w:rsid w:val="0029488A"/>
    <w:rsid w:val="002A7488"/>
    <w:rsid w:val="002B3DF9"/>
    <w:rsid w:val="002B5CB7"/>
    <w:rsid w:val="002B746B"/>
    <w:rsid w:val="002D18EE"/>
    <w:rsid w:val="002E52F3"/>
    <w:rsid w:val="002F1810"/>
    <w:rsid w:val="00305213"/>
    <w:rsid w:val="00307510"/>
    <w:rsid w:val="0031060E"/>
    <w:rsid w:val="00316549"/>
    <w:rsid w:val="00317E83"/>
    <w:rsid w:val="00327785"/>
    <w:rsid w:val="00336847"/>
    <w:rsid w:val="003511BC"/>
    <w:rsid w:val="003524CA"/>
    <w:rsid w:val="003527C6"/>
    <w:rsid w:val="00352B88"/>
    <w:rsid w:val="00353321"/>
    <w:rsid w:val="00366C7F"/>
    <w:rsid w:val="00387493"/>
    <w:rsid w:val="003874A1"/>
    <w:rsid w:val="00395608"/>
    <w:rsid w:val="003A444C"/>
    <w:rsid w:val="003A66D6"/>
    <w:rsid w:val="003C2752"/>
    <w:rsid w:val="003D06DC"/>
    <w:rsid w:val="003D4070"/>
    <w:rsid w:val="003D53D9"/>
    <w:rsid w:val="003D5F47"/>
    <w:rsid w:val="003D77EE"/>
    <w:rsid w:val="003E0B2F"/>
    <w:rsid w:val="003E2B5B"/>
    <w:rsid w:val="003F7781"/>
    <w:rsid w:val="00411272"/>
    <w:rsid w:val="00413378"/>
    <w:rsid w:val="00413AC7"/>
    <w:rsid w:val="0041494A"/>
    <w:rsid w:val="00415164"/>
    <w:rsid w:val="004156D3"/>
    <w:rsid w:val="00427472"/>
    <w:rsid w:val="00434697"/>
    <w:rsid w:val="00440C08"/>
    <w:rsid w:val="00444058"/>
    <w:rsid w:val="004514EC"/>
    <w:rsid w:val="00456C2E"/>
    <w:rsid w:val="0046231E"/>
    <w:rsid w:val="00467BF9"/>
    <w:rsid w:val="0047640A"/>
    <w:rsid w:val="00480648"/>
    <w:rsid w:val="00481FEE"/>
    <w:rsid w:val="00484DC7"/>
    <w:rsid w:val="00485AD3"/>
    <w:rsid w:val="00495EE5"/>
    <w:rsid w:val="0049792E"/>
    <w:rsid w:val="00497FFD"/>
    <w:rsid w:val="004A5100"/>
    <w:rsid w:val="004B3345"/>
    <w:rsid w:val="004C6EF0"/>
    <w:rsid w:val="004C705B"/>
    <w:rsid w:val="004F10D3"/>
    <w:rsid w:val="004F5D19"/>
    <w:rsid w:val="005061C7"/>
    <w:rsid w:val="0051532C"/>
    <w:rsid w:val="00515837"/>
    <w:rsid w:val="005268B8"/>
    <w:rsid w:val="005311F0"/>
    <w:rsid w:val="005438DF"/>
    <w:rsid w:val="00545C89"/>
    <w:rsid w:val="00546499"/>
    <w:rsid w:val="00547D26"/>
    <w:rsid w:val="00563A09"/>
    <w:rsid w:val="00566E31"/>
    <w:rsid w:val="00567B5F"/>
    <w:rsid w:val="005806D4"/>
    <w:rsid w:val="005A06F8"/>
    <w:rsid w:val="005B3C92"/>
    <w:rsid w:val="005C0D0A"/>
    <w:rsid w:val="005C6615"/>
    <w:rsid w:val="005D231E"/>
    <w:rsid w:val="005F286F"/>
    <w:rsid w:val="005F3C97"/>
    <w:rsid w:val="005F5993"/>
    <w:rsid w:val="00601E99"/>
    <w:rsid w:val="00606E1C"/>
    <w:rsid w:val="006074BE"/>
    <w:rsid w:val="00615987"/>
    <w:rsid w:val="006214E9"/>
    <w:rsid w:val="006234FD"/>
    <w:rsid w:val="0063519D"/>
    <w:rsid w:val="00661EA3"/>
    <w:rsid w:val="00665882"/>
    <w:rsid w:val="006748F5"/>
    <w:rsid w:val="006768B7"/>
    <w:rsid w:val="00676F98"/>
    <w:rsid w:val="006800C0"/>
    <w:rsid w:val="00684B22"/>
    <w:rsid w:val="006A34D7"/>
    <w:rsid w:val="006A726F"/>
    <w:rsid w:val="006B0B99"/>
    <w:rsid w:val="006C432A"/>
    <w:rsid w:val="006C6D35"/>
    <w:rsid w:val="006C7246"/>
    <w:rsid w:val="006F28A6"/>
    <w:rsid w:val="006F511C"/>
    <w:rsid w:val="00703328"/>
    <w:rsid w:val="00703B5A"/>
    <w:rsid w:val="007106DA"/>
    <w:rsid w:val="007164E6"/>
    <w:rsid w:val="007208DF"/>
    <w:rsid w:val="00720AA4"/>
    <w:rsid w:val="0073251E"/>
    <w:rsid w:val="00735591"/>
    <w:rsid w:val="00744043"/>
    <w:rsid w:val="007502A0"/>
    <w:rsid w:val="00751E06"/>
    <w:rsid w:val="0075733D"/>
    <w:rsid w:val="00762F70"/>
    <w:rsid w:val="00770DB7"/>
    <w:rsid w:val="0077352A"/>
    <w:rsid w:val="00775890"/>
    <w:rsid w:val="00784863"/>
    <w:rsid w:val="00795CC9"/>
    <w:rsid w:val="007A1DDA"/>
    <w:rsid w:val="007B193C"/>
    <w:rsid w:val="007C04A7"/>
    <w:rsid w:val="007C185F"/>
    <w:rsid w:val="007C3CDA"/>
    <w:rsid w:val="007C450C"/>
    <w:rsid w:val="007D3CF4"/>
    <w:rsid w:val="007E1273"/>
    <w:rsid w:val="007E692B"/>
    <w:rsid w:val="007E782F"/>
    <w:rsid w:val="007E7C0F"/>
    <w:rsid w:val="007F1124"/>
    <w:rsid w:val="007F2F08"/>
    <w:rsid w:val="0080094A"/>
    <w:rsid w:val="00823412"/>
    <w:rsid w:val="00826BB1"/>
    <w:rsid w:val="008366F0"/>
    <w:rsid w:val="008374C6"/>
    <w:rsid w:val="0084330E"/>
    <w:rsid w:val="008476DE"/>
    <w:rsid w:val="00865F40"/>
    <w:rsid w:val="008738F5"/>
    <w:rsid w:val="00873B60"/>
    <w:rsid w:val="00887B51"/>
    <w:rsid w:val="008A067F"/>
    <w:rsid w:val="008A0EE2"/>
    <w:rsid w:val="008A1440"/>
    <w:rsid w:val="008B1D50"/>
    <w:rsid w:val="008B4BF9"/>
    <w:rsid w:val="008B5124"/>
    <w:rsid w:val="008B55BB"/>
    <w:rsid w:val="008C06A5"/>
    <w:rsid w:val="008C1A51"/>
    <w:rsid w:val="008D4244"/>
    <w:rsid w:val="008F03D4"/>
    <w:rsid w:val="009118E4"/>
    <w:rsid w:val="00921BD1"/>
    <w:rsid w:val="00922723"/>
    <w:rsid w:val="00926429"/>
    <w:rsid w:val="00930065"/>
    <w:rsid w:val="00941772"/>
    <w:rsid w:val="00944414"/>
    <w:rsid w:val="00946DDF"/>
    <w:rsid w:val="009608E8"/>
    <w:rsid w:val="0097042C"/>
    <w:rsid w:val="00970C7A"/>
    <w:rsid w:val="009743D3"/>
    <w:rsid w:val="00980783"/>
    <w:rsid w:val="009924E1"/>
    <w:rsid w:val="009A2E04"/>
    <w:rsid w:val="009A49E7"/>
    <w:rsid w:val="009A4B51"/>
    <w:rsid w:val="009A5CE8"/>
    <w:rsid w:val="009A749A"/>
    <w:rsid w:val="009B23C3"/>
    <w:rsid w:val="009B5365"/>
    <w:rsid w:val="009B61EE"/>
    <w:rsid w:val="009C1814"/>
    <w:rsid w:val="009C2B37"/>
    <w:rsid w:val="009C54CD"/>
    <w:rsid w:val="009C7921"/>
    <w:rsid w:val="009C7CA3"/>
    <w:rsid w:val="009D6921"/>
    <w:rsid w:val="009F5B56"/>
    <w:rsid w:val="009F63CB"/>
    <w:rsid w:val="009F656B"/>
    <w:rsid w:val="009F777A"/>
    <w:rsid w:val="00A041A5"/>
    <w:rsid w:val="00A06115"/>
    <w:rsid w:val="00A07382"/>
    <w:rsid w:val="00A27E3E"/>
    <w:rsid w:val="00A30E5B"/>
    <w:rsid w:val="00A31010"/>
    <w:rsid w:val="00A32F41"/>
    <w:rsid w:val="00A66A43"/>
    <w:rsid w:val="00A70BF1"/>
    <w:rsid w:val="00A7558E"/>
    <w:rsid w:val="00A765B0"/>
    <w:rsid w:val="00A82C09"/>
    <w:rsid w:val="00A84A0A"/>
    <w:rsid w:val="00A9321B"/>
    <w:rsid w:val="00A95451"/>
    <w:rsid w:val="00A961AC"/>
    <w:rsid w:val="00AA2BD6"/>
    <w:rsid w:val="00AC1509"/>
    <w:rsid w:val="00AC22EF"/>
    <w:rsid w:val="00AC7CEF"/>
    <w:rsid w:val="00AD0774"/>
    <w:rsid w:val="00AE29E6"/>
    <w:rsid w:val="00AE422F"/>
    <w:rsid w:val="00AE483A"/>
    <w:rsid w:val="00B1315A"/>
    <w:rsid w:val="00B15EBF"/>
    <w:rsid w:val="00B2723C"/>
    <w:rsid w:val="00B42E2F"/>
    <w:rsid w:val="00B43EE4"/>
    <w:rsid w:val="00B45289"/>
    <w:rsid w:val="00B467A1"/>
    <w:rsid w:val="00B5041B"/>
    <w:rsid w:val="00B55AC7"/>
    <w:rsid w:val="00B76D97"/>
    <w:rsid w:val="00B964AC"/>
    <w:rsid w:val="00BB0EBB"/>
    <w:rsid w:val="00BB143D"/>
    <w:rsid w:val="00BB1D3E"/>
    <w:rsid w:val="00BB5A3A"/>
    <w:rsid w:val="00BB5A9A"/>
    <w:rsid w:val="00BB71EE"/>
    <w:rsid w:val="00BD4B2F"/>
    <w:rsid w:val="00BE0149"/>
    <w:rsid w:val="00BE04F0"/>
    <w:rsid w:val="00BE194B"/>
    <w:rsid w:val="00BF0442"/>
    <w:rsid w:val="00BF1848"/>
    <w:rsid w:val="00C23AC7"/>
    <w:rsid w:val="00C247E9"/>
    <w:rsid w:val="00C33441"/>
    <w:rsid w:val="00C3486F"/>
    <w:rsid w:val="00C400CE"/>
    <w:rsid w:val="00C432B4"/>
    <w:rsid w:val="00C45FBF"/>
    <w:rsid w:val="00C71F05"/>
    <w:rsid w:val="00C732C7"/>
    <w:rsid w:val="00C83B43"/>
    <w:rsid w:val="00C863D2"/>
    <w:rsid w:val="00C87E01"/>
    <w:rsid w:val="00CA21CF"/>
    <w:rsid w:val="00CA34FA"/>
    <w:rsid w:val="00CB477E"/>
    <w:rsid w:val="00CD12FC"/>
    <w:rsid w:val="00CF7DB6"/>
    <w:rsid w:val="00CF7F88"/>
    <w:rsid w:val="00D00923"/>
    <w:rsid w:val="00D25421"/>
    <w:rsid w:val="00D36271"/>
    <w:rsid w:val="00D6334F"/>
    <w:rsid w:val="00D722FF"/>
    <w:rsid w:val="00D76131"/>
    <w:rsid w:val="00D87065"/>
    <w:rsid w:val="00D8709E"/>
    <w:rsid w:val="00D87761"/>
    <w:rsid w:val="00D879E1"/>
    <w:rsid w:val="00D901F5"/>
    <w:rsid w:val="00D904D8"/>
    <w:rsid w:val="00D929E9"/>
    <w:rsid w:val="00D962F6"/>
    <w:rsid w:val="00DA116C"/>
    <w:rsid w:val="00DA324B"/>
    <w:rsid w:val="00DA6A32"/>
    <w:rsid w:val="00DB42BE"/>
    <w:rsid w:val="00DB7456"/>
    <w:rsid w:val="00DF2CEC"/>
    <w:rsid w:val="00E155E4"/>
    <w:rsid w:val="00E25455"/>
    <w:rsid w:val="00E313CE"/>
    <w:rsid w:val="00E35EF2"/>
    <w:rsid w:val="00E43BAC"/>
    <w:rsid w:val="00E473FF"/>
    <w:rsid w:val="00E50A2E"/>
    <w:rsid w:val="00E76BC5"/>
    <w:rsid w:val="00E83E17"/>
    <w:rsid w:val="00E9077A"/>
    <w:rsid w:val="00EA1EB2"/>
    <w:rsid w:val="00EA5DCB"/>
    <w:rsid w:val="00EA7432"/>
    <w:rsid w:val="00EB7C41"/>
    <w:rsid w:val="00EC4A8E"/>
    <w:rsid w:val="00ED007D"/>
    <w:rsid w:val="00ED2967"/>
    <w:rsid w:val="00EF682D"/>
    <w:rsid w:val="00F012AB"/>
    <w:rsid w:val="00F02D0D"/>
    <w:rsid w:val="00F217F7"/>
    <w:rsid w:val="00F33BEE"/>
    <w:rsid w:val="00F4080A"/>
    <w:rsid w:val="00F51655"/>
    <w:rsid w:val="00F56784"/>
    <w:rsid w:val="00F649FD"/>
    <w:rsid w:val="00F6550E"/>
    <w:rsid w:val="00F67411"/>
    <w:rsid w:val="00F67DFA"/>
    <w:rsid w:val="00F7172F"/>
    <w:rsid w:val="00F911C9"/>
    <w:rsid w:val="00F92CCB"/>
    <w:rsid w:val="00F938C0"/>
    <w:rsid w:val="00F95A4C"/>
    <w:rsid w:val="00FB4D02"/>
    <w:rsid w:val="00FC0C09"/>
    <w:rsid w:val="00FC164D"/>
    <w:rsid w:val="00FC738D"/>
    <w:rsid w:val="00FD3DC0"/>
    <w:rsid w:val="00FE1A42"/>
    <w:rsid w:val="00FE2E94"/>
    <w:rsid w:val="00FF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E673A2-E659-4175-B5B0-E95921FE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A4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E4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A11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483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E48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E48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5A4C"/>
    <w:rPr>
      <w:sz w:val="18"/>
      <w:szCs w:val="18"/>
    </w:rPr>
  </w:style>
  <w:style w:type="paragraph" w:styleId="a4">
    <w:name w:val="footer"/>
    <w:basedOn w:val="a"/>
    <w:link w:val="Char0"/>
    <w:uiPriority w:val="99"/>
    <w:unhideWhenUsed/>
    <w:rsid w:val="00F95A4C"/>
    <w:pPr>
      <w:tabs>
        <w:tab w:val="center" w:pos="4153"/>
        <w:tab w:val="right" w:pos="8306"/>
      </w:tabs>
      <w:snapToGrid w:val="0"/>
      <w:jc w:val="left"/>
    </w:pPr>
    <w:rPr>
      <w:sz w:val="18"/>
      <w:szCs w:val="18"/>
    </w:rPr>
  </w:style>
  <w:style w:type="character" w:customStyle="1" w:styleId="Char0">
    <w:name w:val="页脚 Char"/>
    <w:basedOn w:val="a0"/>
    <w:link w:val="a4"/>
    <w:uiPriority w:val="99"/>
    <w:rsid w:val="00F95A4C"/>
    <w:rPr>
      <w:sz w:val="18"/>
      <w:szCs w:val="18"/>
    </w:rPr>
  </w:style>
  <w:style w:type="paragraph" w:styleId="a5">
    <w:name w:val="annotation text"/>
    <w:basedOn w:val="a"/>
    <w:link w:val="Char1"/>
    <w:rsid w:val="00F95A4C"/>
    <w:pPr>
      <w:jc w:val="left"/>
    </w:pPr>
  </w:style>
  <w:style w:type="character" w:customStyle="1" w:styleId="Char1">
    <w:name w:val="批注文字 Char"/>
    <w:basedOn w:val="a0"/>
    <w:link w:val="a5"/>
    <w:rsid w:val="00F95A4C"/>
    <w:rPr>
      <w:rFonts w:ascii="Times New Roman" w:eastAsia="宋体" w:hAnsi="Times New Roman" w:cs="Times New Roman"/>
      <w:szCs w:val="24"/>
    </w:rPr>
  </w:style>
  <w:style w:type="paragraph" w:styleId="a6">
    <w:name w:val="Normal (Web)"/>
    <w:basedOn w:val="a"/>
    <w:uiPriority w:val="99"/>
    <w:rsid w:val="00F95A4C"/>
    <w:pPr>
      <w:widowControl/>
      <w:spacing w:before="100" w:beforeAutospacing="1" w:after="100" w:afterAutospacing="1"/>
      <w:jc w:val="left"/>
    </w:pPr>
    <w:rPr>
      <w:rFonts w:ascii="宋体" w:hAnsi="宋体" w:cs="宋体"/>
      <w:kern w:val="0"/>
      <w:sz w:val="24"/>
    </w:rPr>
  </w:style>
  <w:style w:type="paragraph" w:styleId="10">
    <w:name w:val="toc 1"/>
    <w:basedOn w:val="a"/>
    <w:next w:val="a"/>
    <w:autoRedefine/>
    <w:uiPriority w:val="39"/>
    <w:qFormat/>
    <w:rsid w:val="00444058"/>
    <w:pPr>
      <w:tabs>
        <w:tab w:val="right" w:leader="dot" w:pos="9061"/>
      </w:tabs>
      <w:adjustRightInd w:val="0"/>
      <w:snapToGrid w:val="0"/>
      <w:spacing w:line="440" w:lineRule="exact"/>
      <w:jc w:val="center"/>
    </w:pPr>
    <w:rPr>
      <w:b/>
      <w:bCs/>
      <w:noProof/>
      <w:color w:val="000000" w:themeColor="text1"/>
      <w:kern w:val="0"/>
      <w:sz w:val="24"/>
    </w:rPr>
  </w:style>
  <w:style w:type="paragraph" w:styleId="a7">
    <w:name w:val="Balloon Text"/>
    <w:basedOn w:val="a"/>
    <w:link w:val="Char2"/>
    <w:uiPriority w:val="99"/>
    <w:semiHidden/>
    <w:unhideWhenUsed/>
    <w:rsid w:val="00F95A4C"/>
    <w:rPr>
      <w:sz w:val="18"/>
      <w:szCs w:val="18"/>
    </w:rPr>
  </w:style>
  <w:style w:type="character" w:customStyle="1" w:styleId="Char2">
    <w:name w:val="批注框文本 Char"/>
    <w:basedOn w:val="a0"/>
    <w:link w:val="a7"/>
    <w:uiPriority w:val="99"/>
    <w:semiHidden/>
    <w:rsid w:val="00F95A4C"/>
    <w:rPr>
      <w:rFonts w:ascii="Times New Roman" w:eastAsia="宋体" w:hAnsi="Times New Roman" w:cs="Times New Roman"/>
      <w:sz w:val="18"/>
      <w:szCs w:val="18"/>
    </w:rPr>
  </w:style>
  <w:style w:type="paragraph" w:customStyle="1" w:styleId="Default">
    <w:name w:val="Default"/>
    <w:uiPriority w:val="99"/>
    <w:rsid w:val="006B0B99"/>
    <w:pPr>
      <w:widowControl w:val="0"/>
      <w:autoSpaceDE w:val="0"/>
      <w:autoSpaceDN w:val="0"/>
      <w:adjustRightInd w:val="0"/>
    </w:pPr>
    <w:rPr>
      <w:rFonts w:ascii="仿宋_GB2312" w:eastAsia="仿宋_GB2312" w:hAnsi="Times New Roman" w:cs="仿宋_GB2312"/>
      <w:color w:val="000000"/>
      <w:kern w:val="0"/>
      <w:sz w:val="24"/>
      <w:szCs w:val="24"/>
    </w:rPr>
  </w:style>
  <w:style w:type="character" w:customStyle="1" w:styleId="fontstyle01">
    <w:name w:val="fontstyle01"/>
    <w:basedOn w:val="a0"/>
    <w:rsid w:val="00174DCE"/>
    <w:rPr>
      <w:rFonts w:ascii="宋体" w:eastAsia="宋体" w:hAnsi="宋体" w:hint="eastAsia"/>
      <w:b w:val="0"/>
      <w:bCs w:val="0"/>
      <w:i w:val="0"/>
      <w:iCs w:val="0"/>
      <w:color w:val="000000"/>
      <w:sz w:val="24"/>
      <w:szCs w:val="24"/>
    </w:rPr>
  </w:style>
  <w:style w:type="character" w:customStyle="1" w:styleId="fontstyle21">
    <w:name w:val="fontstyle21"/>
    <w:basedOn w:val="a0"/>
    <w:rsid w:val="00174DCE"/>
    <w:rPr>
      <w:rFonts w:ascii="TimesNewRomanPS-BoldMT" w:hAnsi="TimesNewRomanPS-BoldMT" w:hint="default"/>
      <w:b/>
      <w:bCs/>
      <w:i w:val="0"/>
      <w:iCs w:val="0"/>
      <w:color w:val="000000"/>
      <w:sz w:val="24"/>
      <w:szCs w:val="24"/>
    </w:rPr>
  </w:style>
  <w:style w:type="paragraph" w:styleId="20">
    <w:name w:val="toc 2"/>
    <w:basedOn w:val="a"/>
    <w:next w:val="a"/>
    <w:autoRedefine/>
    <w:uiPriority w:val="39"/>
    <w:unhideWhenUsed/>
    <w:rsid w:val="000116F6"/>
    <w:pPr>
      <w:ind w:leftChars="200" w:left="420"/>
    </w:pPr>
  </w:style>
  <w:style w:type="character" w:styleId="a8">
    <w:name w:val="Hyperlink"/>
    <w:basedOn w:val="a0"/>
    <w:uiPriority w:val="99"/>
    <w:unhideWhenUsed/>
    <w:rsid w:val="000116F6"/>
    <w:rPr>
      <w:color w:val="0000FF" w:themeColor="hyperlink"/>
      <w:u w:val="single"/>
    </w:rPr>
  </w:style>
  <w:style w:type="paragraph" w:styleId="a9">
    <w:name w:val="List Paragraph"/>
    <w:basedOn w:val="a"/>
    <w:link w:val="Char3"/>
    <w:uiPriority w:val="34"/>
    <w:qFormat/>
    <w:rsid w:val="000116F6"/>
    <w:pPr>
      <w:ind w:firstLineChars="200" w:firstLine="420"/>
    </w:pPr>
  </w:style>
  <w:style w:type="character" w:customStyle="1" w:styleId="3Char">
    <w:name w:val="标题 3 Char"/>
    <w:basedOn w:val="a0"/>
    <w:link w:val="3"/>
    <w:uiPriority w:val="9"/>
    <w:semiHidden/>
    <w:rsid w:val="00AE483A"/>
    <w:rPr>
      <w:rFonts w:ascii="Times New Roman" w:eastAsia="宋体" w:hAnsi="Times New Roman" w:cs="Times New Roman"/>
      <w:b/>
      <w:bCs/>
      <w:sz w:val="32"/>
      <w:szCs w:val="32"/>
    </w:rPr>
  </w:style>
  <w:style w:type="character" w:customStyle="1" w:styleId="1Char">
    <w:name w:val="标题 1 Char"/>
    <w:basedOn w:val="a0"/>
    <w:link w:val="1"/>
    <w:uiPriority w:val="9"/>
    <w:rsid w:val="00AE483A"/>
    <w:rPr>
      <w:rFonts w:ascii="Times New Roman" w:eastAsia="宋体" w:hAnsi="Times New Roman" w:cs="Times New Roman"/>
      <w:b/>
      <w:bCs/>
      <w:kern w:val="44"/>
      <w:sz w:val="44"/>
      <w:szCs w:val="44"/>
    </w:rPr>
  </w:style>
  <w:style w:type="character" w:customStyle="1" w:styleId="4Char">
    <w:name w:val="标题 4 Char"/>
    <w:basedOn w:val="a0"/>
    <w:link w:val="4"/>
    <w:uiPriority w:val="9"/>
    <w:semiHidden/>
    <w:rsid w:val="00AE483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E483A"/>
    <w:rPr>
      <w:rFonts w:ascii="Times New Roman" w:eastAsia="宋体" w:hAnsi="Times New Roman" w:cs="Times New Roman"/>
      <w:b/>
      <w:bCs/>
      <w:sz w:val="28"/>
      <w:szCs w:val="28"/>
    </w:rPr>
  </w:style>
  <w:style w:type="paragraph" w:styleId="aa">
    <w:name w:val="caption"/>
    <w:aliases w:val="表格,表格题注,C-题注"/>
    <w:basedOn w:val="a"/>
    <w:next w:val="a"/>
    <w:uiPriority w:val="35"/>
    <w:unhideWhenUsed/>
    <w:qFormat/>
    <w:rsid w:val="00427472"/>
    <w:rPr>
      <w:rFonts w:asciiTheme="majorHAnsi" w:eastAsia="黑体" w:hAnsiTheme="majorHAnsi" w:cstheme="majorBidi"/>
      <w:sz w:val="20"/>
      <w:szCs w:val="20"/>
    </w:rPr>
  </w:style>
  <w:style w:type="paragraph" w:styleId="ab">
    <w:name w:val="table of figures"/>
    <w:basedOn w:val="a"/>
    <w:next w:val="a"/>
    <w:uiPriority w:val="99"/>
    <w:unhideWhenUsed/>
    <w:rsid w:val="00427472"/>
    <w:pPr>
      <w:ind w:leftChars="200" w:left="200" w:hangingChars="200" w:hanging="200"/>
    </w:pPr>
  </w:style>
  <w:style w:type="paragraph" w:styleId="TOC">
    <w:name w:val="TOC Heading"/>
    <w:basedOn w:val="1"/>
    <w:next w:val="a"/>
    <w:uiPriority w:val="39"/>
    <w:unhideWhenUsed/>
    <w:qFormat/>
    <w:rsid w:val="00FB4D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c">
    <w:name w:val="FollowedHyperlink"/>
    <w:basedOn w:val="a0"/>
    <w:uiPriority w:val="99"/>
    <w:semiHidden/>
    <w:unhideWhenUsed/>
    <w:rsid w:val="001F4845"/>
    <w:rPr>
      <w:color w:val="800080" w:themeColor="followedHyperlink"/>
      <w:u w:val="single"/>
    </w:rPr>
  </w:style>
  <w:style w:type="paragraph" w:styleId="ad">
    <w:name w:val="footnote text"/>
    <w:basedOn w:val="a"/>
    <w:link w:val="Char4"/>
    <w:uiPriority w:val="99"/>
    <w:semiHidden/>
    <w:unhideWhenUsed/>
    <w:rsid w:val="00192D85"/>
    <w:pPr>
      <w:snapToGrid w:val="0"/>
      <w:jc w:val="left"/>
    </w:pPr>
    <w:rPr>
      <w:sz w:val="18"/>
      <w:szCs w:val="18"/>
    </w:rPr>
  </w:style>
  <w:style w:type="character" w:customStyle="1" w:styleId="Char4">
    <w:name w:val="脚注文本 Char"/>
    <w:basedOn w:val="a0"/>
    <w:link w:val="ad"/>
    <w:uiPriority w:val="99"/>
    <w:semiHidden/>
    <w:rsid w:val="00192D85"/>
    <w:rPr>
      <w:rFonts w:ascii="Times New Roman" w:eastAsia="宋体" w:hAnsi="Times New Roman" w:cs="Times New Roman"/>
      <w:sz w:val="18"/>
      <w:szCs w:val="18"/>
    </w:rPr>
  </w:style>
  <w:style w:type="character" w:styleId="ae">
    <w:name w:val="footnote reference"/>
    <w:basedOn w:val="a0"/>
    <w:uiPriority w:val="99"/>
    <w:semiHidden/>
    <w:unhideWhenUsed/>
    <w:rsid w:val="00192D85"/>
    <w:rPr>
      <w:vertAlign w:val="superscript"/>
    </w:rPr>
  </w:style>
  <w:style w:type="character" w:customStyle="1" w:styleId="Char3">
    <w:name w:val="列出段落 Char"/>
    <w:basedOn w:val="a0"/>
    <w:link w:val="a9"/>
    <w:uiPriority w:val="34"/>
    <w:rsid w:val="00F33BEE"/>
    <w:rPr>
      <w:rFonts w:ascii="Times New Roman" w:eastAsia="宋体" w:hAnsi="Times New Roman" w:cs="Times New Roman"/>
      <w:szCs w:val="24"/>
    </w:rPr>
  </w:style>
  <w:style w:type="character" w:customStyle="1" w:styleId="2Char">
    <w:name w:val="标题 2 Char"/>
    <w:basedOn w:val="a0"/>
    <w:link w:val="2"/>
    <w:uiPriority w:val="9"/>
    <w:semiHidden/>
    <w:rsid w:val="00DA11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291">
      <w:bodyDiv w:val="1"/>
      <w:marLeft w:val="0"/>
      <w:marRight w:val="0"/>
      <w:marTop w:val="0"/>
      <w:marBottom w:val="0"/>
      <w:divBdr>
        <w:top w:val="none" w:sz="0" w:space="0" w:color="auto"/>
        <w:left w:val="none" w:sz="0" w:space="0" w:color="auto"/>
        <w:bottom w:val="none" w:sz="0" w:space="0" w:color="auto"/>
        <w:right w:val="none" w:sz="0" w:space="0" w:color="auto"/>
      </w:divBdr>
    </w:div>
    <w:div w:id="243104577">
      <w:bodyDiv w:val="1"/>
      <w:marLeft w:val="0"/>
      <w:marRight w:val="0"/>
      <w:marTop w:val="0"/>
      <w:marBottom w:val="0"/>
      <w:divBdr>
        <w:top w:val="none" w:sz="0" w:space="0" w:color="auto"/>
        <w:left w:val="none" w:sz="0" w:space="0" w:color="auto"/>
        <w:bottom w:val="none" w:sz="0" w:space="0" w:color="auto"/>
        <w:right w:val="none" w:sz="0" w:space="0" w:color="auto"/>
      </w:divBdr>
    </w:div>
    <w:div w:id="1569539261">
      <w:bodyDiv w:val="1"/>
      <w:marLeft w:val="0"/>
      <w:marRight w:val="0"/>
      <w:marTop w:val="0"/>
      <w:marBottom w:val="0"/>
      <w:divBdr>
        <w:top w:val="none" w:sz="0" w:space="0" w:color="auto"/>
        <w:left w:val="none" w:sz="0" w:space="0" w:color="auto"/>
        <w:bottom w:val="none" w:sz="0" w:space="0" w:color="auto"/>
        <w:right w:val="none" w:sz="0" w:space="0" w:color="auto"/>
      </w:divBdr>
    </w:div>
    <w:div w:id="1707295103">
      <w:bodyDiv w:val="1"/>
      <w:marLeft w:val="0"/>
      <w:marRight w:val="0"/>
      <w:marTop w:val="0"/>
      <w:marBottom w:val="0"/>
      <w:divBdr>
        <w:top w:val="none" w:sz="0" w:space="0" w:color="auto"/>
        <w:left w:val="none" w:sz="0" w:space="0" w:color="auto"/>
        <w:bottom w:val="none" w:sz="0" w:space="0" w:color="auto"/>
        <w:right w:val="none" w:sz="0" w:space="0" w:color="auto"/>
      </w:divBdr>
    </w:div>
    <w:div w:id="1940330291">
      <w:bodyDiv w:val="1"/>
      <w:marLeft w:val="0"/>
      <w:marRight w:val="0"/>
      <w:marTop w:val="0"/>
      <w:marBottom w:val="0"/>
      <w:divBdr>
        <w:top w:val="none" w:sz="0" w:space="0" w:color="auto"/>
        <w:left w:val="none" w:sz="0" w:space="0" w:color="auto"/>
        <w:bottom w:val="none" w:sz="0" w:space="0" w:color="auto"/>
        <w:right w:val="none" w:sz="0" w:space="0" w:color="auto"/>
      </w:divBdr>
    </w:div>
    <w:div w:id="20242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21A26-BD1F-4EFE-85D1-657D6063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9</Pages>
  <Words>1242</Words>
  <Characters>7086</Characters>
  <Application>Microsoft Office Word</Application>
  <DocSecurity>0</DocSecurity>
  <Lines>59</Lines>
  <Paragraphs>16</Paragraphs>
  <ScaleCrop>false</ScaleCrop>
  <Company>Microsoft</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wcaixia</dc:creator>
  <cp:keywords/>
  <dc:description/>
  <cp:lastModifiedBy>admin</cp:lastModifiedBy>
  <cp:revision>289</cp:revision>
  <cp:lastPrinted>2021-01-15T04:11:00Z</cp:lastPrinted>
  <dcterms:created xsi:type="dcterms:W3CDTF">2020-03-25T06:32:00Z</dcterms:created>
  <dcterms:modified xsi:type="dcterms:W3CDTF">2024-12-23T00:52:00Z</dcterms:modified>
</cp:coreProperties>
</file>