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C9931" w14:textId="77777777" w:rsidR="008849F5" w:rsidRPr="00993CCE" w:rsidRDefault="00000000" w:rsidP="00993CCE">
      <w:pPr>
        <w:jc w:val="center"/>
        <w:rPr>
          <w:rFonts w:hint="eastAsia"/>
          <w:color w:val="000000" w:themeColor="text1"/>
        </w:rPr>
      </w:pPr>
      <w:r w:rsidRPr="00993CCE">
        <w:rPr>
          <w:color w:val="000000" w:themeColor="text1"/>
        </w:rPr>
        <w:t>EMERGING TECHNOLOGIES</w:t>
      </w:r>
    </w:p>
    <w:p w14:paraId="18BDAE24" w14:textId="77777777" w:rsidR="008849F5" w:rsidRPr="00993CCE" w:rsidRDefault="00000000" w:rsidP="00993CCE">
      <w:pPr>
        <w:pStyle w:val="Title"/>
        <w:jc w:val="center"/>
        <w:rPr>
          <w:color w:val="000000" w:themeColor="text1"/>
        </w:rPr>
      </w:pPr>
      <w:r w:rsidRPr="00993CCE">
        <w:rPr>
          <w:color w:val="000000" w:themeColor="text1"/>
        </w:rPr>
        <w:t>Innovation and Disruption Agent</w:t>
      </w:r>
    </w:p>
    <w:p w14:paraId="3FCE5D8A" w14:textId="77777777" w:rsidR="008849F5" w:rsidRPr="00993CCE" w:rsidRDefault="00000000" w:rsidP="00993CCE">
      <w:pPr>
        <w:jc w:val="center"/>
        <w:rPr>
          <w:rFonts w:hint="eastAsia"/>
          <w:color w:val="000000" w:themeColor="text1"/>
        </w:rPr>
      </w:pPr>
      <w:r w:rsidRPr="00993CCE">
        <w:rPr>
          <w:color w:val="000000" w:themeColor="text1"/>
        </w:rPr>
        <w:t>Assignment 3 | Minghan Liu | October 11 2026</w:t>
      </w:r>
    </w:p>
    <w:p w14:paraId="3D3C5D01" w14:textId="77777777" w:rsidR="008849F5" w:rsidRPr="00993CCE" w:rsidRDefault="00000000" w:rsidP="00993CCE">
      <w:pPr>
        <w:pStyle w:val="Heading1"/>
        <w:rPr>
          <w:color w:val="000000" w:themeColor="text1"/>
        </w:rPr>
      </w:pPr>
      <w:r w:rsidRPr="00993CCE">
        <w:rPr>
          <w:color w:val="000000" w:themeColor="text1"/>
        </w:rPr>
        <w:t>A. Agent and Version</w:t>
      </w:r>
    </w:p>
    <w:tbl>
      <w:tblPr>
        <w:tblStyle w:val="TableGrid"/>
        <w:tblW w:w="0" w:type="auto"/>
        <w:jc w:val="center"/>
        <w:tblLook w:val="04A0" w:firstRow="1" w:lastRow="0" w:firstColumn="1" w:lastColumn="0" w:noHBand="0" w:noVBand="1"/>
      </w:tblPr>
      <w:tblGrid>
        <w:gridCol w:w="5219"/>
        <w:gridCol w:w="5225"/>
      </w:tblGrid>
      <w:tr w:rsidR="00993CCE" w:rsidRPr="00993CCE" w14:paraId="2A148335" w14:textId="77777777" w:rsidTr="00993CCE">
        <w:trPr>
          <w:cantSplit/>
          <w:tblHeader/>
          <w:jc w:val="center"/>
        </w:trPr>
        <w:tc>
          <w:tcPr>
            <w:tcW w:w="5227" w:type="dxa"/>
            <w:tcMar>
              <w:top w:w="70" w:type="dxa"/>
              <w:left w:w="90" w:type="dxa"/>
              <w:bottom w:w="70" w:type="dxa"/>
              <w:right w:w="90" w:type="dxa"/>
            </w:tcMar>
          </w:tcPr>
          <w:p w14:paraId="4FC8B44C" w14:textId="77777777" w:rsidR="008849F5" w:rsidRPr="00993CCE" w:rsidRDefault="00000000" w:rsidP="00993CCE">
            <w:pPr>
              <w:spacing w:after="20"/>
              <w:rPr>
                <w:rFonts w:hint="eastAsia"/>
                <w:color w:val="000000" w:themeColor="text1"/>
              </w:rPr>
            </w:pPr>
            <w:r w:rsidRPr="00993CCE">
              <w:rPr>
                <w:b/>
                <w:color w:val="000000" w:themeColor="text1"/>
                <w:sz w:val="17"/>
              </w:rPr>
              <w:t>Field</w:t>
            </w:r>
          </w:p>
        </w:tc>
        <w:tc>
          <w:tcPr>
            <w:tcW w:w="5227" w:type="dxa"/>
            <w:tcMar>
              <w:top w:w="70" w:type="dxa"/>
              <w:left w:w="90" w:type="dxa"/>
              <w:bottom w:w="70" w:type="dxa"/>
              <w:right w:w="90" w:type="dxa"/>
            </w:tcMar>
          </w:tcPr>
          <w:p w14:paraId="61B9A5A5" w14:textId="77777777" w:rsidR="008849F5" w:rsidRPr="00993CCE" w:rsidRDefault="00000000" w:rsidP="00993CCE">
            <w:pPr>
              <w:spacing w:after="20"/>
              <w:rPr>
                <w:rFonts w:hint="eastAsia"/>
                <w:color w:val="000000" w:themeColor="text1"/>
              </w:rPr>
            </w:pPr>
            <w:r w:rsidRPr="00993CCE">
              <w:rPr>
                <w:b/>
                <w:color w:val="000000" w:themeColor="text1"/>
                <w:sz w:val="17"/>
              </w:rPr>
              <w:t>Student record</w:t>
            </w:r>
          </w:p>
        </w:tc>
      </w:tr>
      <w:tr w:rsidR="00993CCE" w:rsidRPr="00993CCE" w14:paraId="3BE57F40" w14:textId="77777777">
        <w:trPr>
          <w:cantSplit/>
          <w:jc w:val="center"/>
        </w:trPr>
        <w:tc>
          <w:tcPr>
            <w:tcW w:w="5227" w:type="dxa"/>
            <w:tcMar>
              <w:top w:w="70" w:type="dxa"/>
              <w:left w:w="90" w:type="dxa"/>
              <w:bottom w:w="70" w:type="dxa"/>
              <w:right w:w="90" w:type="dxa"/>
            </w:tcMar>
          </w:tcPr>
          <w:p w14:paraId="6FFA610B" w14:textId="77777777" w:rsidR="008849F5" w:rsidRPr="00993CCE" w:rsidRDefault="00000000" w:rsidP="00993CCE">
            <w:pPr>
              <w:spacing w:after="20"/>
              <w:rPr>
                <w:rFonts w:hint="eastAsia"/>
                <w:color w:val="000000" w:themeColor="text1"/>
              </w:rPr>
            </w:pPr>
            <w:r w:rsidRPr="00993CCE">
              <w:rPr>
                <w:color w:val="000000" w:themeColor="text1"/>
                <w:sz w:val="17"/>
              </w:rPr>
              <w:t>Student / team</w:t>
            </w:r>
          </w:p>
        </w:tc>
        <w:tc>
          <w:tcPr>
            <w:tcW w:w="5227" w:type="dxa"/>
            <w:tcMar>
              <w:top w:w="70" w:type="dxa"/>
              <w:left w:w="90" w:type="dxa"/>
              <w:bottom w:w="70" w:type="dxa"/>
              <w:right w:w="90" w:type="dxa"/>
            </w:tcMar>
          </w:tcPr>
          <w:p w14:paraId="7369C633" w14:textId="77777777" w:rsidR="008849F5" w:rsidRPr="00993CCE" w:rsidRDefault="00000000" w:rsidP="00993CCE">
            <w:pPr>
              <w:spacing w:after="20"/>
              <w:rPr>
                <w:rFonts w:hint="eastAsia"/>
                <w:color w:val="000000" w:themeColor="text1"/>
              </w:rPr>
            </w:pPr>
            <w:r w:rsidRPr="00993CCE">
              <w:rPr>
                <w:color w:val="000000" w:themeColor="text1"/>
              </w:rPr>
              <w:t>Minghan Liu / individual submission</w:t>
            </w:r>
          </w:p>
        </w:tc>
      </w:tr>
      <w:tr w:rsidR="00993CCE" w:rsidRPr="00993CCE" w14:paraId="2531266D" w14:textId="77777777">
        <w:trPr>
          <w:cantSplit/>
          <w:jc w:val="center"/>
        </w:trPr>
        <w:tc>
          <w:tcPr>
            <w:tcW w:w="5227" w:type="dxa"/>
            <w:tcMar>
              <w:top w:w="70" w:type="dxa"/>
              <w:left w:w="90" w:type="dxa"/>
              <w:bottom w:w="70" w:type="dxa"/>
              <w:right w:w="90" w:type="dxa"/>
            </w:tcMar>
          </w:tcPr>
          <w:p w14:paraId="6E4F834D" w14:textId="77777777" w:rsidR="008849F5" w:rsidRPr="00993CCE" w:rsidRDefault="00000000" w:rsidP="00993CCE">
            <w:pPr>
              <w:spacing w:after="20"/>
              <w:rPr>
                <w:rFonts w:hint="eastAsia"/>
                <w:color w:val="000000" w:themeColor="text1"/>
              </w:rPr>
            </w:pPr>
            <w:r w:rsidRPr="00993CCE">
              <w:rPr>
                <w:color w:val="000000" w:themeColor="text1"/>
                <w:sz w:val="17"/>
              </w:rPr>
              <w:t>Assignment / specialist agent</w:t>
            </w:r>
          </w:p>
        </w:tc>
        <w:tc>
          <w:tcPr>
            <w:tcW w:w="5227" w:type="dxa"/>
            <w:tcMar>
              <w:top w:w="70" w:type="dxa"/>
              <w:left w:w="90" w:type="dxa"/>
              <w:bottom w:w="70" w:type="dxa"/>
              <w:right w:w="90" w:type="dxa"/>
            </w:tcMar>
          </w:tcPr>
          <w:p w14:paraId="7B6D24FE" w14:textId="77777777" w:rsidR="008849F5" w:rsidRPr="00993CCE" w:rsidRDefault="00000000" w:rsidP="00993CCE">
            <w:pPr>
              <w:spacing w:after="20"/>
              <w:rPr>
                <w:rFonts w:hint="eastAsia"/>
                <w:color w:val="000000" w:themeColor="text1"/>
              </w:rPr>
            </w:pPr>
            <w:r w:rsidRPr="00993CCE">
              <w:rPr>
                <w:color w:val="000000" w:themeColor="text1"/>
              </w:rPr>
              <w:t>Assignment 3 / Innovation and Disruption Agent v1.1</w:t>
            </w:r>
          </w:p>
        </w:tc>
      </w:tr>
      <w:tr w:rsidR="00993CCE" w:rsidRPr="00993CCE" w14:paraId="0136D126" w14:textId="77777777">
        <w:trPr>
          <w:cantSplit/>
          <w:jc w:val="center"/>
        </w:trPr>
        <w:tc>
          <w:tcPr>
            <w:tcW w:w="5227" w:type="dxa"/>
            <w:tcMar>
              <w:top w:w="70" w:type="dxa"/>
              <w:left w:w="90" w:type="dxa"/>
              <w:bottom w:w="70" w:type="dxa"/>
              <w:right w:w="90" w:type="dxa"/>
            </w:tcMar>
          </w:tcPr>
          <w:p w14:paraId="699BEAB4" w14:textId="77777777" w:rsidR="008849F5" w:rsidRPr="00993CCE" w:rsidRDefault="00000000" w:rsidP="00993CCE">
            <w:pPr>
              <w:spacing w:after="20"/>
              <w:rPr>
                <w:rFonts w:hint="eastAsia"/>
                <w:color w:val="000000" w:themeColor="text1"/>
              </w:rPr>
            </w:pPr>
            <w:r w:rsidRPr="00993CCE">
              <w:rPr>
                <w:color w:val="000000" w:themeColor="text1"/>
                <w:sz w:val="17"/>
              </w:rPr>
              <w:t>Date</w:t>
            </w:r>
          </w:p>
        </w:tc>
        <w:tc>
          <w:tcPr>
            <w:tcW w:w="5227" w:type="dxa"/>
            <w:tcMar>
              <w:top w:w="70" w:type="dxa"/>
              <w:left w:w="90" w:type="dxa"/>
              <w:bottom w:w="70" w:type="dxa"/>
              <w:right w:w="90" w:type="dxa"/>
            </w:tcMar>
          </w:tcPr>
          <w:p w14:paraId="1D87E3B1" w14:textId="77777777" w:rsidR="008849F5" w:rsidRPr="00993CCE" w:rsidRDefault="00000000" w:rsidP="00993CCE">
            <w:pPr>
              <w:spacing w:after="20"/>
              <w:rPr>
                <w:rFonts w:hint="eastAsia"/>
                <w:color w:val="000000" w:themeColor="text1"/>
              </w:rPr>
            </w:pPr>
            <w:r w:rsidRPr="00993CCE">
              <w:rPr>
                <w:color w:val="000000" w:themeColor="text1"/>
              </w:rPr>
              <w:t>October 11, 2026</w:t>
            </w:r>
          </w:p>
        </w:tc>
      </w:tr>
      <w:tr w:rsidR="00993CCE" w:rsidRPr="00993CCE" w14:paraId="2F268A96" w14:textId="77777777">
        <w:trPr>
          <w:cantSplit/>
          <w:jc w:val="center"/>
        </w:trPr>
        <w:tc>
          <w:tcPr>
            <w:tcW w:w="5227" w:type="dxa"/>
            <w:tcMar>
              <w:top w:w="70" w:type="dxa"/>
              <w:left w:w="90" w:type="dxa"/>
              <w:bottom w:w="70" w:type="dxa"/>
              <w:right w:w="90" w:type="dxa"/>
            </w:tcMar>
          </w:tcPr>
          <w:p w14:paraId="2F025C19" w14:textId="77777777" w:rsidR="008849F5" w:rsidRPr="00993CCE" w:rsidRDefault="00000000" w:rsidP="00993CCE">
            <w:pPr>
              <w:spacing w:after="20"/>
              <w:rPr>
                <w:rFonts w:hint="eastAsia"/>
                <w:color w:val="000000" w:themeColor="text1"/>
              </w:rPr>
            </w:pPr>
            <w:r w:rsidRPr="00993CCE">
              <w:rPr>
                <w:color w:val="000000" w:themeColor="text1"/>
                <w:sz w:val="17"/>
              </w:rPr>
              <w:t>GitHub repository</w:t>
            </w:r>
          </w:p>
        </w:tc>
        <w:tc>
          <w:tcPr>
            <w:tcW w:w="5227" w:type="dxa"/>
            <w:tcMar>
              <w:top w:w="70" w:type="dxa"/>
              <w:left w:w="90" w:type="dxa"/>
              <w:bottom w:w="70" w:type="dxa"/>
              <w:right w:w="90" w:type="dxa"/>
            </w:tcMar>
          </w:tcPr>
          <w:p w14:paraId="0893F4E4" w14:textId="77777777" w:rsidR="008849F5" w:rsidRPr="00993CCE" w:rsidRDefault="00000000" w:rsidP="00993CCE">
            <w:pPr>
              <w:spacing w:after="20"/>
              <w:rPr>
                <w:rFonts w:hint="eastAsia"/>
                <w:color w:val="000000" w:themeColor="text1"/>
              </w:rPr>
            </w:pPr>
            <w:r w:rsidRPr="00993CCE">
              <w:rPr>
                <w:color w:val="000000" w:themeColor="text1"/>
              </w:rPr>
              <w:t>https://github.com/lmh04250425/MASY1800-agents</w:t>
            </w:r>
          </w:p>
        </w:tc>
      </w:tr>
      <w:tr w:rsidR="00993CCE" w:rsidRPr="00993CCE" w14:paraId="12755592" w14:textId="77777777">
        <w:trPr>
          <w:cantSplit/>
          <w:jc w:val="center"/>
        </w:trPr>
        <w:tc>
          <w:tcPr>
            <w:tcW w:w="5227" w:type="dxa"/>
            <w:tcMar>
              <w:top w:w="70" w:type="dxa"/>
              <w:left w:w="90" w:type="dxa"/>
              <w:bottom w:w="70" w:type="dxa"/>
              <w:right w:w="90" w:type="dxa"/>
            </w:tcMar>
          </w:tcPr>
          <w:p w14:paraId="749F5DB7" w14:textId="77777777" w:rsidR="008849F5" w:rsidRPr="00993CCE" w:rsidRDefault="00000000" w:rsidP="00993CCE">
            <w:pPr>
              <w:spacing w:after="20"/>
              <w:rPr>
                <w:rFonts w:hint="eastAsia"/>
                <w:color w:val="000000" w:themeColor="text1"/>
              </w:rPr>
            </w:pPr>
            <w:r w:rsidRPr="00993CCE">
              <w:rPr>
                <w:color w:val="000000" w:themeColor="text1"/>
                <w:sz w:val="17"/>
              </w:rPr>
              <w:t>Branch</w:t>
            </w:r>
          </w:p>
        </w:tc>
        <w:tc>
          <w:tcPr>
            <w:tcW w:w="5227" w:type="dxa"/>
            <w:tcMar>
              <w:top w:w="70" w:type="dxa"/>
              <w:left w:w="90" w:type="dxa"/>
              <w:bottom w:w="70" w:type="dxa"/>
              <w:right w:w="90" w:type="dxa"/>
            </w:tcMar>
          </w:tcPr>
          <w:p w14:paraId="20DB2709" w14:textId="77777777" w:rsidR="008849F5" w:rsidRPr="00993CCE" w:rsidRDefault="00000000" w:rsidP="00993CCE">
            <w:pPr>
              <w:spacing w:after="20"/>
              <w:rPr>
                <w:rFonts w:hint="eastAsia"/>
                <w:color w:val="000000" w:themeColor="text1"/>
              </w:rPr>
            </w:pPr>
            <w:r w:rsidRPr="00993CCE">
              <w:rPr>
                <w:color w:val="000000" w:themeColor="text1"/>
              </w:rPr>
              <w:t>assignment-3-innovation-disruption</w:t>
            </w:r>
          </w:p>
        </w:tc>
      </w:tr>
      <w:tr w:rsidR="00993CCE" w:rsidRPr="00993CCE" w14:paraId="4D163B08" w14:textId="77777777">
        <w:trPr>
          <w:cantSplit/>
          <w:jc w:val="center"/>
        </w:trPr>
        <w:tc>
          <w:tcPr>
            <w:tcW w:w="5227" w:type="dxa"/>
            <w:tcMar>
              <w:top w:w="70" w:type="dxa"/>
              <w:left w:w="90" w:type="dxa"/>
              <w:bottom w:w="70" w:type="dxa"/>
              <w:right w:w="90" w:type="dxa"/>
            </w:tcMar>
          </w:tcPr>
          <w:p w14:paraId="3A607896" w14:textId="77777777" w:rsidR="008849F5" w:rsidRPr="00993CCE" w:rsidRDefault="00000000" w:rsidP="00993CCE">
            <w:pPr>
              <w:spacing w:after="20"/>
              <w:rPr>
                <w:rFonts w:hint="eastAsia"/>
                <w:color w:val="000000" w:themeColor="text1"/>
              </w:rPr>
            </w:pPr>
            <w:r w:rsidRPr="00993CCE">
              <w:rPr>
                <w:color w:val="000000" w:themeColor="text1"/>
                <w:sz w:val="17"/>
              </w:rPr>
              <w:t>Commit</w:t>
            </w:r>
          </w:p>
        </w:tc>
        <w:tc>
          <w:tcPr>
            <w:tcW w:w="5227" w:type="dxa"/>
            <w:tcMar>
              <w:top w:w="70" w:type="dxa"/>
              <w:left w:w="90" w:type="dxa"/>
              <w:bottom w:w="70" w:type="dxa"/>
              <w:right w:w="90" w:type="dxa"/>
            </w:tcMar>
          </w:tcPr>
          <w:p w14:paraId="21FEF553" w14:textId="77777777" w:rsidR="008849F5" w:rsidRPr="00993CCE" w:rsidRDefault="00000000" w:rsidP="00993CCE">
            <w:pPr>
              <w:spacing w:after="20"/>
              <w:rPr>
                <w:rFonts w:hint="eastAsia"/>
                <w:color w:val="000000" w:themeColor="text1"/>
              </w:rPr>
            </w:pPr>
            <w:r w:rsidRPr="00993CCE">
              <w:rPr>
                <w:color w:val="000000" w:themeColor="text1"/>
              </w:rPr>
              <w:t>Implementation and tests: 4cdf07c1a6eb2cbaf10f44423393bd9d5e87c24b</w:t>
            </w:r>
          </w:p>
        </w:tc>
      </w:tr>
      <w:tr w:rsidR="00993CCE" w:rsidRPr="00993CCE" w14:paraId="3B0E675F" w14:textId="77777777">
        <w:trPr>
          <w:cantSplit/>
          <w:jc w:val="center"/>
        </w:trPr>
        <w:tc>
          <w:tcPr>
            <w:tcW w:w="5227" w:type="dxa"/>
            <w:tcMar>
              <w:top w:w="70" w:type="dxa"/>
              <w:left w:w="90" w:type="dxa"/>
              <w:bottom w:w="70" w:type="dxa"/>
              <w:right w:w="90" w:type="dxa"/>
            </w:tcMar>
          </w:tcPr>
          <w:p w14:paraId="68E37F7D" w14:textId="77777777" w:rsidR="008849F5" w:rsidRPr="00993CCE" w:rsidRDefault="00000000" w:rsidP="00993CCE">
            <w:pPr>
              <w:spacing w:after="20"/>
              <w:rPr>
                <w:rFonts w:hint="eastAsia"/>
                <w:color w:val="000000" w:themeColor="text1"/>
              </w:rPr>
            </w:pPr>
            <w:r w:rsidRPr="00993CCE">
              <w:rPr>
                <w:color w:val="000000" w:themeColor="text1"/>
                <w:sz w:val="17"/>
              </w:rPr>
              <w:t>Frozen scaffold version</w:t>
            </w:r>
          </w:p>
        </w:tc>
        <w:tc>
          <w:tcPr>
            <w:tcW w:w="5227" w:type="dxa"/>
            <w:tcMar>
              <w:top w:w="70" w:type="dxa"/>
              <w:left w:w="90" w:type="dxa"/>
              <w:bottom w:w="70" w:type="dxa"/>
              <w:right w:w="90" w:type="dxa"/>
            </w:tcMar>
          </w:tcPr>
          <w:p w14:paraId="7A9ED997" w14:textId="77777777" w:rsidR="008849F5" w:rsidRPr="00993CCE" w:rsidRDefault="00000000" w:rsidP="00993CCE">
            <w:pPr>
              <w:spacing w:after="20"/>
              <w:rPr>
                <w:rFonts w:hint="eastAsia"/>
                <w:color w:val="000000" w:themeColor="text1"/>
              </w:rPr>
            </w:pPr>
            <w:r w:rsidRPr="00993CCE">
              <w:rPr>
                <w:color w:val="000000" w:themeColor="text1"/>
              </w:rPr>
              <w:t>MASY1800_ET_Agent_Scaffold_v1_0; frozen core verified intact</w:t>
            </w:r>
          </w:p>
        </w:tc>
      </w:tr>
    </w:tbl>
    <w:p w14:paraId="32A0888C" w14:textId="77777777" w:rsidR="008849F5" w:rsidRPr="00993CCE" w:rsidRDefault="00000000" w:rsidP="00993CCE">
      <w:pPr>
        <w:pStyle w:val="Heading1"/>
        <w:rPr>
          <w:color w:val="000000" w:themeColor="text1"/>
        </w:rPr>
      </w:pPr>
      <w:r w:rsidRPr="00993CCE">
        <w:rPr>
          <w:color w:val="000000" w:themeColor="text1"/>
        </w:rPr>
        <w:t>B. Specialist Purpose and Context</w:t>
      </w:r>
    </w:p>
    <w:tbl>
      <w:tblPr>
        <w:tblStyle w:val="TableGrid"/>
        <w:tblW w:w="0" w:type="auto"/>
        <w:jc w:val="center"/>
        <w:tblLook w:val="04A0" w:firstRow="1" w:lastRow="0" w:firstColumn="1" w:lastColumn="0" w:noHBand="0" w:noVBand="1"/>
      </w:tblPr>
      <w:tblGrid>
        <w:gridCol w:w="5222"/>
        <w:gridCol w:w="5222"/>
      </w:tblGrid>
      <w:tr w:rsidR="00993CCE" w:rsidRPr="00993CCE" w14:paraId="4A2A25D3" w14:textId="77777777" w:rsidTr="00993CCE">
        <w:trPr>
          <w:cantSplit/>
          <w:tblHeader/>
          <w:jc w:val="center"/>
        </w:trPr>
        <w:tc>
          <w:tcPr>
            <w:tcW w:w="5227" w:type="dxa"/>
            <w:tcMar>
              <w:top w:w="70" w:type="dxa"/>
              <w:left w:w="90" w:type="dxa"/>
              <w:bottom w:w="70" w:type="dxa"/>
              <w:right w:w="90" w:type="dxa"/>
            </w:tcMar>
          </w:tcPr>
          <w:p w14:paraId="53A31EF3" w14:textId="77777777" w:rsidR="008849F5" w:rsidRPr="00993CCE" w:rsidRDefault="00000000" w:rsidP="00993CCE">
            <w:pPr>
              <w:spacing w:after="20"/>
              <w:rPr>
                <w:rFonts w:hint="eastAsia"/>
                <w:color w:val="000000" w:themeColor="text1"/>
              </w:rPr>
            </w:pPr>
            <w:r w:rsidRPr="00993CCE">
              <w:rPr>
                <w:b/>
                <w:color w:val="000000" w:themeColor="text1"/>
                <w:sz w:val="17"/>
              </w:rPr>
              <w:t>Field</w:t>
            </w:r>
          </w:p>
        </w:tc>
        <w:tc>
          <w:tcPr>
            <w:tcW w:w="5227" w:type="dxa"/>
            <w:tcMar>
              <w:top w:w="70" w:type="dxa"/>
              <w:left w:w="90" w:type="dxa"/>
              <w:bottom w:w="70" w:type="dxa"/>
              <w:right w:w="90" w:type="dxa"/>
            </w:tcMar>
          </w:tcPr>
          <w:p w14:paraId="33E7440B" w14:textId="77777777" w:rsidR="008849F5" w:rsidRPr="00993CCE" w:rsidRDefault="00000000" w:rsidP="00993CCE">
            <w:pPr>
              <w:spacing w:after="20"/>
              <w:rPr>
                <w:rFonts w:hint="eastAsia"/>
                <w:color w:val="000000" w:themeColor="text1"/>
              </w:rPr>
            </w:pPr>
            <w:r w:rsidRPr="00993CCE">
              <w:rPr>
                <w:b/>
                <w:color w:val="000000" w:themeColor="text1"/>
                <w:sz w:val="17"/>
              </w:rPr>
              <w:t>Student record</w:t>
            </w:r>
          </w:p>
        </w:tc>
      </w:tr>
      <w:tr w:rsidR="00993CCE" w:rsidRPr="00993CCE" w14:paraId="1A22D8DD" w14:textId="77777777">
        <w:trPr>
          <w:cantSplit/>
          <w:jc w:val="center"/>
        </w:trPr>
        <w:tc>
          <w:tcPr>
            <w:tcW w:w="5227" w:type="dxa"/>
            <w:tcMar>
              <w:top w:w="70" w:type="dxa"/>
              <w:left w:w="90" w:type="dxa"/>
              <w:bottom w:w="70" w:type="dxa"/>
              <w:right w:w="90" w:type="dxa"/>
            </w:tcMar>
          </w:tcPr>
          <w:p w14:paraId="4DF9E299" w14:textId="77777777" w:rsidR="008849F5" w:rsidRPr="00993CCE" w:rsidRDefault="00000000" w:rsidP="00993CCE">
            <w:pPr>
              <w:spacing w:after="20"/>
              <w:rPr>
                <w:rFonts w:hint="eastAsia"/>
                <w:color w:val="000000" w:themeColor="text1"/>
              </w:rPr>
            </w:pPr>
            <w:r w:rsidRPr="00993CCE">
              <w:rPr>
                <w:color w:val="000000" w:themeColor="text1"/>
                <w:sz w:val="17"/>
              </w:rPr>
              <w:t>Governing analytical question</w:t>
            </w:r>
          </w:p>
        </w:tc>
        <w:tc>
          <w:tcPr>
            <w:tcW w:w="5227" w:type="dxa"/>
            <w:tcMar>
              <w:top w:w="70" w:type="dxa"/>
              <w:left w:w="90" w:type="dxa"/>
              <w:bottom w:w="70" w:type="dxa"/>
              <w:right w:w="90" w:type="dxa"/>
            </w:tcMar>
          </w:tcPr>
          <w:p w14:paraId="0676E459" w14:textId="77777777" w:rsidR="008849F5" w:rsidRPr="00993CCE" w:rsidRDefault="00000000" w:rsidP="00993CCE">
            <w:pPr>
              <w:spacing w:after="20"/>
              <w:rPr>
                <w:rFonts w:hint="eastAsia"/>
                <w:color w:val="000000" w:themeColor="text1"/>
              </w:rPr>
            </w:pPr>
            <w:r w:rsidRPr="00993CCE">
              <w:rPr>
                <w:color w:val="000000" w:themeColor="text1"/>
              </w:rPr>
              <w:t>What kind of innovation is proposed, and what could it create or displace in the organization’s business model?</w:t>
            </w:r>
          </w:p>
        </w:tc>
      </w:tr>
      <w:tr w:rsidR="00993CCE" w:rsidRPr="00993CCE" w14:paraId="42159B43" w14:textId="77777777">
        <w:trPr>
          <w:cantSplit/>
          <w:jc w:val="center"/>
        </w:trPr>
        <w:tc>
          <w:tcPr>
            <w:tcW w:w="5227" w:type="dxa"/>
            <w:tcMar>
              <w:top w:w="70" w:type="dxa"/>
              <w:left w:w="90" w:type="dxa"/>
              <w:bottom w:w="70" w:type="dxa"/>
              <w:right w:w="90" w:type="dxa"/>
            </w:tcMar>
          </w:tcPr>
          <w:p w14:paraId="45E66868" w14:textId="77777777" w:rsidR="008849F5" w:rsidRPr="00993CCE" w:rsidRDefault="00000000" w:rsidP="00993CCE">
            <w:pPr>
              <w:spacing w:after="20"/>
              <w:rPr>
                <w:rFonts w:hint="eastAsia"/>
                <w:color w:val="000000" w:themeColor="text1"/>
              </w:rPr>
            </w:pPr>
            <w:r w:rsidRPr="00993CCE">
              <w:rPr>
                <w:color w:val="000000" w:themeColor="text1"/>
                <w:sz w:val="17"/>
              </w:rPr>
              <w:t>Emerging technology</w:t>
            </w:r>
          </w:p>
        </w:tc>
        <w:tc>
          <w:tcPr>
            <w:tcW w:w="5227" w:type="dxa"/>
            <w:tcMar>
              <w:top w:w="70" w:type="dxa"/>
              <w:left w:w="90" w:type="dxa"/>
              <w:bottom w:w="70" w:type="dxa"/>
              <w:right w:w="90" w:type="dxa"/>
            </w:tcMar>
          </w:tcPr>
          <w:p w14:paraId="33403A9E" w14:textId="77777777" w:rsidR="008849F5" w:rsidRPr="00993CCE" w:rsidRDefault="00000000" w:rsidP="00993CCE">
            <w:pPr>
              <w:spacing w:after="20"/>
              <w:rPr>
                <w:rFonts w:hint="eastAsia"/>
                <w:color w:val="000000" w:themeColor="text1"/>
              </w:rPr>
            </w:pPr>
            <w:r w:rsidRPr="00993CCE">
              <w:rPr>
                <w:color w:val="000000" w:themeColor="text1"/>
              </w:rPr>
              <w:t>Agentic AI: LLM systems that plan and use tools to complete tasks.</w:t>
            </w:r>
          </w:p>
        </w:tc>
      </w:tr>
      <w:tr w:rsidR="00993CCE" w:rsidRPr="00993CCE" w14:paraId="02A45745" w14:textId="77777777">
        <w:trPr>
          <w:cantSplit/>
          <w:jc w:val="center"/>
        </w:trPr>
        <w:tc>
          <w:tcPr>
            <w:tcW w:w="5227" w:type="dxa"/>
            <w:tcMar>
              <w:top w:w="70" w:type="dxa"/>
              <w:left w:w="90" w:type="dxa"/>
              <w:bottom w:w="70" w:type="dxa"/>
              <w:right w:w="90" w:type="dxa"/>
            </w:tcMar>
          </w:tcPr>
          <w:p w14:paraId="51F22757" w14:textId="77777777" w:rsidR="008849F5" w:rsidRPr="00993CCE" w:rsidRDefault="00000000" w:rsidP="00993CCE">
            <w:pPr>
              <w:spacing w:after="20"/>
              <w:rPr>
                <w:rFonts w:hint="eastAsia"/>
                <w:color w:val="000000" w:themeColor="text1"/>
              </w:rPr>
            </w:pPr>
            <w:r w:rsidRPr="00993CCE">
              <w:rPr>
                <w:color w:val="000000" w:themeColor="text1"/>
                <w:sz w:val="17"/>
              </w:rPr>
              <w:t>Intended application</w:t>
            </w:r>
          </w:p>
        </w:tc>
        <w:tc>
          <w:tcPr>
            <w:tcW w:w="5227" w:type="dxa"/>
            <w:tcMar>
              <w:top w:w="70" w:type="dxa"/>
              <w:left w:w="90" w:type="dxa"/>
              <w:bottom w:w="70" w:type="dxa"/>
              <w:right w:w="90" w:type="dxa"/>
            </w:tcMar>
          </w:tcPr>
          <w:p w14:paraId="51DC11D1" w14:textId="77777777" w:rsidR="008849F5" w:rsidRPr="00993CCE" w:rsidRDefault="00000000" w:rsidP="00993CCE">
            <w:pPr>
              <w:spacing w:after="20"/>
              <w:rPr>
                <w:rFonts w:hint="eastAsia"/>
                <w:color w:val="000000" w:themeColor="text1"/>
              </w:rPr>
            </w:pPr>
            <w:r w:rsidRPr="00993CCE">
              <w:rPr>
                <w:color w:val="000000" w:themeColor="text1"/>
              </w:rPr>
              <w:t>Proposed support for prospective students: approved information, clarification and appointment requests. People approve consequential messages and actions.</w:t>
            </w:r>
          </w:p>
        </w:tc>
      </w:tr>
      <w:tr w:rsidR="00993CCE" w:rsidRPr="00993CCE" w14:paraId="6051EA60" w14:textId="77777777">
        <w:trPr>
          <w:cantSplit/>
          <w:jc w:val="center"/>
        </w:trPr>
        <w:tc>
          <w:tcPr>
            <w:tcW w:w="5227" w:type="dxa"/>
            <w:tcMar>
              <w:top w:w="70" w:type="dxa"/>
              <w:left w:w="90" w:type="dxa"/>
              <w:bottom w:w="70" w:type="dxa"/>
              <w:right w:w="90" w:type="dxa"/>
            </w:tcMar>
          </w:tcPr>
          <w:p w14:paraId="75B4AB75" w14:textId="77777777" w:rsidR="008849F5" w:rsidRPr="00993CCE" w:rsidRDefault="00000000" w:rsidP="00993CCE">
            <w:pPr>
              <w:spacing w:after="20"/>
              <w:rPr>
                <w:rFonts w:hint="eastAsia"/>
                <w:color w:val="000000" w:themeColor="text1"/>
              </w:rPr>
            </w:pPr>
            <w:r w:rsidRPr="00993CCE">
              <w:rPr>
                <w:color w:val="000000" w:themeColor="text1"/>
                <w:sz w:val="17"/>
              </w:rPr>
              <w:t>Organization / industry</w:t>
            </w:r>
          </w:p>
        </w:tc>
        <w:tc>
          <w:tcPr>
            <w:tcW w:w="5227" w:type="dxa"/>
            <w:tcMar>
              <w:top w:w="70" w:type="dxa"/>
              <w:left w:w="90" w:type="dxa"/>
              <w:bottom w:w="70" w:type="dxa"/>
              <w:right w:w="90" w:type="dxa"/>
            </w:tcMar>
          </w:tcPr>
          <w:p w14:paraId="2F22ACF4" w14:textId="77777777" w:rsidR="008849F5" w:rsidRPr="00993CCE" w:rsidRDefault="00000000" w:rsidP="00993CCE">
            <w:pPr>
              <w:spacing w:after="20"/>
              <w:rPr>
                <w:rFonts w:hint="eastAsia"/>
                <w:color w:val="000000" w:themeColor="text1"/>
              </w:rPr>
            </w:pPr>
            <w:r w:rsidRPr="00993CCE">
              <w:rPr>
                <w:color w:val="000000" w:themeColor="text1"/>
              </w:rPr>
              <w:t>NYU School of Professional Studies / higher education. Continues the Assignment 2 project.</w:t>
            </w:r>
          </w:p>
        </w:tc>
      </w:tr>
      <w:tr w:rsidR="00993CCE" w:rsidRPr="00993CCE" w14:paraId="1AB81E8D" w14:textId="77777777">
        <w:trPr>
          <w:cantSplit/>
          <w:jc w:val="center"/>
        </w:trPr>
        <w:tc>
          <w:tcPr>
            <w:tcW w:w="5227" w:type="dxa"/>
            <w:tcMar>
              <w:top w:w="70" w:type="dxa"/>
              <w:left w:w="90" w:type="dxa"/>
              <w:bottom w:w="70" w:type="dxa"/>
              <w:right w:w="90" w:type="dxa"/>
            </w:tcMar>
          </w:tcPr>
          <w:p w14:paraId="419947A1" w14:textId="77777777" w:rsidR="008849F5" w:rsidRPr="00993CCE" w:rsidRDefault="00000000" w:rsidP="00993CCE">
            <w:pPr>
              <w:spacing w:after="20"/>
              <w:rPr>
                <w:rFonts w:hint="eastAsia"/>
                <w:color w:val="000000" w:themeColor="text1"/>
              </w:rPr>
            </w:pPr>
            <w:r w:rsidRPr="00993CCE">
              <w:rPr>
                <w:color w:val="000000" w:themeColor="text1"/>
                <w:sz w:val="17"/>
              </w:rPr>
              <w:t>Adoption posture</w:t>
            </w:r>
          </w:p>
        </w:tc>
        <w:tc>
          <w:tcPr>
            <w:tcW w:w="5227" w:type="dxa"/>
            <w:tcMar>
              <w:top w:w="70" w:type="dxa"/>
              <w:left w:w="90" w:type="dxa"/>
              <w:bottom w:w="70" w:type="dxa"/>
              <w:right w:w="90" w:type="dxa"/>
            </w:tcMar>
          </w:tcPr>
          <w:p w14:paraId="305DD4C4" w14:textId="77777777" w:rsidR="008849F5" w:rsidRPr="00993CCE" w:rsidRDefault="00000000" w:rsidP="00993CCE">
            <w:pPr>
              <w:spacing w:after="20"/>
              <w:rPr>
                <w:rFonts w:hint="eastAsia"/>
                <w:color w:val="000000" w:themeColor="text1"/>
              </w:rPr>
            </w:pPr>
            <w:r w:rsidRPr="00993CCE">
              <w:rPr>
                <w:color w:val="000000" w:themeColor="text1"/>
              </w:rPr>
              <w:t>Moderate / fast-follower is a case assumption, not an official NYU policy.</w:t>
            </w:r>
          </w:p>
        </w:tc>
      </w:tr>
      <w:tr w:rsidR="00993CCE" w:rsidRPr="00993CCE" w14:paraId="6134824A" w14:textId="77777777">
        <w:trPr>
          <w:cantSplit/>
          <w:jc w:val="center"/>
        </w:trPr>
        <w:tc>
          <w:tcPr>
            <w:tcW w:w="5227" w:type="dxa"/>
            <w:tcMar>
              <w:top w:w="70" w:type="dxa"/>
              <w:left w:w="90" w:type="dxa"/>
              <w:bottom w:w="70" w:type="dxa"/>
              <w:right w:w="90" w:type="dxa"/>
            </w:tcMar>
          </w:tcPr>
          <w:p w14:paraId="2478B54E" w14:textId="77777777" w:rsidR="008849F5" w:rsidRPr="00993CCE" w:rsidRDefault="00000000" w:rsidP="00993CCE">
            <w:pPr>
              <w:spacing w:after="20"/>
              <w:rPr>
                <w:rFonts w:hint="eastAsia"/>
                <w:color w:val="000000" w:themeColor="text1"/>
              </w:rPr>
            </w:pPr>
            <w:r w:rsidRPr="00993CCE">
              <w:rPr>
                <w:color w:val="000000" w:themeColor="text1"/>
                <w:sz w:val="17"/>
              </w:rPr>
              <w:t>Risk / consequence context</w:t>
            </w:r>
          </w:p>
        </w:tc>
        <w:tc>
          <w:tcPr>
            <w:tcW w:w="5227" w:type="dxa"/>
            <w:tcMar>
              <w:top w:w="70" w:type="dxa"/>
              <w:left w:w="90" w:type="dxa"/>
              <w:bottom w:w="70" w:type="dxa"/>
              <w:right w:w="90" w:type="dxa"/>
            </w:tcMar>
          </w:tcPr>
          <w:p w14:paraId="45D04003" w14:textId="77777777" w:rsidR="008849F5" w:rsidRPr="00993CCE" w:rsidRDefault="00000000" w:rsidP="00993CCE">
            <w:pPr>
              <w:spacing w:after="20"/>
              <w:rPr>
                <w:rFonts w:hint="eastAsia"/>
                <w:color w:val="000000" w:themeColor="text1"/>
              </w:rPr>
            </w:pPr>
            <w:r w:rsidRPr="00993CCE">
              <w:rPr>
                <w:color w:val="000000" w:themeColor="text1"/>
              </w:rPr>
              <w:t>Incorrect guidance, privacy and unauthorized actions. No applicant records or live outreach used. Admission, scholarship and visa decisions are outside scope.</w:t>
            </w:r>
          </w:p>
        </w:tc>
      </w:tr>
      <w:tr w:rsidR="00993CCE" w:rsidRPr="00993CCE" w14:paraId="46236F75" w14:textId="77777777">
        <w:trPr>
          <w:cantSplit/>
          <w:jc w:val="center"/>
        </w:trPr>
        <w:tc>
          <w:tcPr>
            <w:tcW w:w="5227" w:type="dxa"/>
            <w:tcMar>
              <w:top w:w="70" w:type="dxa"/>
              <w:left w:w="90" w:type="dxa"/>
              <w:bottom w:w="70" w:type="dxa"/>
              <w:right w:w="90" w:type="dxa"/>
            </w:tcMar>
          </w:tcPr>
          <w:p w14:paraId="36772A7F" w14:textId="77777777" w:rsidR="008849F5" w:rsidRPr="00993CCE" w:rsidRDefault="00000000" w:rsidP="00993CCE">
            <w:pPr>
              <w:spacing w:after="20"/>
              <w:rPr>
                <w:rFonts w:hint="eastAsia"/>
                <w:color w:val="000000" w:themeColor="text1"/>
              </w:rPr>
            </w:pPr>
            <w:r w:rsidRPr="00993CCE">
              <w:rPr>
                <w:color w:val="000000" w:themeColor="text1"/>
                <w:sz w:val="17"/>
              </w:rPr>
              <w:t>Management question / time horizon</w:t>
            </w:r>
          </w:p>
        </w:tc>
        <w:tc>
          <w:tcPr>
            <w:tcW w:w="5227" w:type="dxa"/>
            <w:tcMar>
              <w:top w:w="70" w:type="dxa"/>
              <w:left w:w="90" w:type="dxa"/>
              <w:bottom w:w="70" w:type="dxa"/>
              <w:right w:w="90" w:type="dxa"/>
            </w:tcMar>
          </w:tcPr>
          <w:p w14:paraId="14A62D45" w14:textId="77777777" w:rsidR="008849F5" w:rsidRPr="00993CCE" w:rsidRDefault="00000000" w:rsidP="00993CCE">
            <w:pPr>
              <w:spacing w:after="20"/>
              <w:rPr>
                <w:rFonts w:hint="eastAsia"/>
                <w:color w:val="000000" w:themeColor="text1"/>
              </w:rPr>
            </w:pPr>
            <w:r w:rsidRPr="00993CCE">
              <w:rPr>
                <w:color w:val="000000" w:themeColor="text1"/>
              </w:rPr>
              <w:t>What evidence justifies investigating a bounded support pilot? Decision horizon: 12 months / one admissions cycle.</w:t>
            </w:r>
          </w:p>
        </w:tc>
      </w:tr>
    </w:tbl>
    <w:p w14:paraId="5877A89B" w14:textId="77777777" w:rsidR="008849F5" w:rsidRPr="00993CCE" w:rsidRDefault="00000000" w:rsidP="00993CCE">
      <w:pPr>
        <w:pStyle w:val="Heading1"/>
        <w:pageBreakBefore/>
        <w:rPr>
          <w:color w:val="000000" w:themeColor="text1"/>
        </w:rPr>
      </w:pPr>
      <w:r w:rsidRPr="00993CCE">
        <w:rPr>
          <w:color w:val="000000" w:themeColor="text1"/>
        </w:rPr>
        <w:lastRenderedPageBreak/>
        <w:t>C. Three-Level Finding</w:t>
      </w:r>
    </w:p>
    <w:tbl>
      <w:tblPr>
        <w:tblStyle w:val="TableGrid"/>
        <w:tblW w:w="0" w:type="auto"/>
        <w:jc w:val="center"/>
        <w:tblLook w:val="04A0" w:firstRow="1" w:lastRow="0" w:firstColumn="1" w:lastColumn="0" w:noHBand="0" w:noVBand="1"/>
      </w:tblPr>
      <w:tblGrid>
        <w:gridCol w:w="5222"/>
        <w:gridCol w:w="5222"/>
      </w:tblGrid>
      <w:tr w:rsidR="00993CCE" w:rsidRPr="00993CCE" w14:paraId="7D0B43D9" w14:textId="77777777" w:rsidTr="00993CCE">
        <w:trPr>
          <w:cantSplit/>
          <w:tblHeader/>
          <w:jc w:val="center"/>
        </w:trPr>
        <w:tc>
          <w:tcPr>
            <w:tcW w:w="5227" w:type="dxa"/>
            <w:tcMar>
              <w:top w:w="70" w:type="dxa"/>
              <w:left w:w="90" w:type="dxa"/>
              <w:bottom w:w="70" w:type="dxa"/>
              <w:right w:w="90" w:type="dxa"/>
            </w:tcMar>
          </w:tcPr>
          <w:p w14:paraId="018C18A1" w14:textId="77777777" w:rsidR="008849F5" w:rsidRPr="00993CCE" w:rsidRDefault="00000000" w:rsidP="00993CCE">
            <w:pPr>
              <w:spacing w:after="20"/>
              <w:rPr>
                <w:rFonts w:hint="eastAsia"/>
                <w:color w:val="000000" w:themeColor="text1"/>
              </w:rPr>
            </w:pPr>
            <w:r w:rsidRPr="00993CCE">
              <w:rPr>
                <w:b/>
                <w:color w:val="000000" w:themeColor="text1"/>
                <w:sz w:val="17"/>
              </w:rPr>
              <w:t>Field</w:t>
            </w:r>
          </w:p>
        </w:tc>
        <w:tc>
          <w:tcPr>
            <w:tcW w:w="5227" w:type="dxa"/>
            <w:tcMar>
              <w:top w:w="70" w:type="dxa"/>
              <w:left w:w="90" w:type="dxa"/>
              <w:bottom w:w="70" w:type="dxa"/>
              <w:right w:w="90" w:type="dxa"/>
            </w:tcMar>
          </w:tcPr>
          <w:p w14:paraId="7699958D" w14:textId="77777777" w:rsidR="008849F5" w:rsidRPr="00993CCE" w:rsidRDefault="00000000" w:rsidP="00993CCE">
            <w:pPr>
              <w:spacing w:after="20"/>
              <w:rPr>
                <w:rFonts w:hint="eastAsia"/>
                <w:color w:val="000000" w:themeColor="text1"/>
              </w:rPr>
            </w:pPr>
            <w:r w:rsidRPr="00993CCE">
              <w:rPr>
                <w:b/>
                <w:color w:val="000000" w:themeColor="text1"/>
                <w:sz w:val="17"/>
              </w:rPr>
              <w:t>Student record</w:t>
            </w:r>
          </w:p>
        </w:tc>
      </w:tr>
      <w:tr w:rsidR="00993CCE" w:rsidRPr="00993CCE" w14:paraId="042A369E" w14:textId="77777777">
        <w:trPr>
          <w:cantSplit/>
          <w:jc w:val="center"/>
        </w:trPr>
        <w:tc>
          <w:tcPr>
            <w:tcW w:w="5227" w:type="dxa"/>
            <w:tcMar>
              <w:top w:w="70" w:type="dxa"/>
              <w:left w:w="90" w:type="dxa"/>
              <w:bottom w:w="70" w:type="dxa"/>
              <w:right w:w="90" w:type="dxa"/>
            </w:tcMar>
          </w:tcPr>
          <w:p w14:paraId="3436CA5A" w14:textId="77777777" w:rsidR="008849F5" w:rsidRPr="00993CCE" w:rsidRDefault="00000000" w:rsidP="00993CCE">
            <w:pPr>
              <w:spacing w:after="20"/>
              <w:rPr>
                <w:rFonts w:hint="eastAsia"/>
                <w:color w:val="000000" w:themeColor="text1"/>
              </w:rPr>
            </w:pPr>
            <w:r w:rsidRPr="00993CCE">
              <w:rPr>
                <w:color w:val="000000" w:themeColor="text1"/>
                <w:sz w:val="17"/>
              </w:rPr>
              <w:t>ET generally</w:t>
            </w:r>
          </w:p>
        </w:tc>
        <w:tc>
          <w:tcPr>
            <w:tcW w:w="5227" w:type="dxa"/>
            <w:tcMar>
              <w:top w:w="70" w:type="dxa"/>
              <w:left w:w="90" w:type="dxa"/>
              <w:bottom w:w="70" w:type="dxa"/>
              <w:right w:w="90" w:type="dxa"/>
            </w:tcMar>
          </w:tcPr>
          <w:p w14:paraId="34FDB58A" w14:textId="77777777" w:rsidR="008849F5" w:rsidRPr="00993CCE" w:rsidRDefault="00000000" w:rsidP="00993CCE">
            <w:pPr>
              <w:spacing w:after="20"/>
              <w:rPr>
                <w:rFonts w:hint="eastAsia"/>
                <w:color w:val="000000" w:themeColor="text1"/>
              </w:rPr>
            </w:pPr>
            <w:r w:rsidRPr="00993CCE">
              <w:rPr>
                <w:color w:val="000000" w:themeColor="text1"/>
              </w:rPr>
              <w:t>LLMs plus tool control have commercial offerings [S2, S3]. Invention, innovation and commercialization can overlap. A universal breakthrough or profitable market-wide diffusion is not established.</w:t>
            </w:r>
          </w:p>
        </w:tc>
      </w:tr>
      <w:tr w:rsidR="00993CCE" w:rsidRPr="00993CCE" w14:paraId="1D356ECA" w14:textId="77777777">
        <w:trPr>
          <w:cantSplit/>
          <w:jc w:val="center"/>
        </w:trPr>
        <w:tc>
          <w:tcPr>
            <w:tcW w:w="5227" w:type="dxa"/>
            <w:tcMar>
              <w:top w:w="70" w:type="dxa"/>
              <w:left w:w="90" w:type="dxa"/>
              <w:bottom w:w="70" w:type="dxa"/>
              <w:right w:w="90" w:type="dxa"/>
            </w:tcMar>
          </w:tcPr>
          <w:p w14:paraId="627E09D0" w14:textId="77777777" w:rsidR="008849F5" w:rsidRPr="00993CCE" w:rsidRDefault="00000000" w:rsidP="00993CCE">
            <w:pPr>
              <w:spacing w:after="20"/>
              <w:rPr>
                <w:rFonts w:hint="eastAsia"/>
                <w:color w:val="000000" w:themeColor="text1"/>
              </w:rPr>
            </w:pPr>
            <w:r w:rsidRPr="00993CCE">
              <w:rPr>
                <w:color w:val="000000" w:themeColor="text1"/>
                <w:sz w:val="17"/>
              </w:rPr>
              <w:t>ET for this application</w:t>
            </w:r>
          </w:p>
        </w:tc>
        <w:tc>
          <w:tcPr>
            <w:tcW w:w="5227" w:type="dxa"/>
            <w:tcMar>
              <w:top w:w="70" w:type="dxa"/>
              <w:left w:w="90" w:type="dxa"/>
              <w:bottom w:w="70" w:type="dxa"/>
              <w:right w:w="90" w:type="dxa"/>
            </w:tcMar>
          </w:tcPr>
          <w:p w14:paraId="184B562B" w14:textId="77777777" w:rsidR="008849F5" w:rsidRPr="00993CCE" w:rsidRDefault="00000000" w:rsidP="00993CCE">
            <w:pPr>
              <w:spacing w:after="20"/>
              <w:rPr>
                <w:rFonts w:hint="eastAsia"/>
                <w:color w:val="000000" w:themeColor="text1"/>
              </w:rPr>
            </w:pPr>
            <w:r w:rsidRPr="00993CCE">
              <w:rPr>
                <w:color w:val="000000" w:themeColor="text1"/>
              </w:rPr>
              <w:t>Proposed incremental and sustaining process innovation relative to counselor support and fixed workflows. Actual use and local novelty are unverified. Earlier student-support chatbots weaken claims of unprecedented outreach [S1, S5, C1].</w:t>
            </w:r>
          </w:p>
        </w:tc>
      </w:tr>
      <w:tr w:rsidR="00993CCE" w:rsidRPr="00993CCE" w14:paraId="79BF92B7" w14:textId="77777777">
        <w:trPr>
          <w:cantSplit/>
          <w:jc w:val="center"/>
        </w:trPr>
        <w:tc>
          <w:tcPr>
            <w:tcW w:w="5227" w:type="dxa"/>
            <w:tcMar>
              <w:top w:w="70" w:type="dxa"/>
              <w:left w:w="90" w:type="dxa"/>
              <w:bottom w:w="70" w:type="dxa"/>
              <w:right w:w="90" w:type="dxa"/>
            </w:tcMar>
          </w:tcPr>
          <w:p w14:paraId="25E7F395" w14:textId="77777777" w:rsidR="008849F5" w:rsidRPr="00993CCE" w:rsidRDefault="00000000" w:rsidP="00993CCE">
            <w:pPr>
              <w:spacing w:after="20"/>
              <w:rPr>
                <w:rFonts w:hint="eastAsia"/>
                <w:color w:val="000000" w:themeColor="text1"/>
              </w:rPr>
            </w:pPr>
            <w:r w:rsidRPr="00993CCE">
              <w:rPr>
                <w:color w:val="000000" w:themeColor="text1"/>
                <w:sz w:val="17"/>
              </w:rPr>
              <w:t>ET for this application in this organization</w:t>
            </w:r>
          </w:p>
        </w:tc>
        <w:tc>
          <w:tcPr>
            <w:tcW w:w="5227" w:type="dxa"/>
            <w:tcMar>
              <w:top w:w="70" w:type="dxa"/>
              <w:left w:w="90" w:type="dxa"/>
              <w:bottom w:w="70" w:type="dxa"/>
              <w:right w:w="90" w:type="dxa"/>
            </w:tcMar>
          </w:tcPr>
          <w:p w14:paraId="4E785772" w14:textId="77777777" w:rsidR="008849F5" w:rsidRPr="00993CCE" w:rsidRDefault="00000000" w:rsidP="00993CCE">
            <w:pPr>
              <w:spacing w:after="20"/>
              <w:rPr>
                <w:rFonts w:hint="eastAsia"/>
                <w:color w:val="000000" w:themeColor="text1"/>
              </w:rPr>
            </w:pPr>
            <w:r w:rsidRPr="00993CCE">
              <w:rPr>
                <w:color w:val="000000" w:themeColor="text1"/>
              </w:rPr>
              <w:t>Moderate conditional exposure for recruitment-support activities. Automation could shift routine handling and costs while preserving the educational offer. This is not evidence that degrees or counselors become obsolete.</w:t>
            </w:r>
          </w:p>
        </w:tc>
      </w:tr>
      <w:tr w:rsidR="00993CCE" w:rsidRPr="00993CCE" w14:paraId="4F32FDA7" w14:textId="77777777">
        <w:trPr>
          <w:cantSplit/>
          <w:jc w:val="center"/>
        </w:trPr>
        <w:tc>
          <w:tcPr>
            <w:tcW w:w="5227" w:type="dxa"/>
            <w:tcMar>
              <w:top w:w="70" w:type="dxa"/>
              <w:left w:w="90" w:type="dxa"/>
              <w:bottom w:w="70" w:type="dxa"/>
              <w:right w:w="90" w:type="dxa"/>
            </w:tcMar>
          </w:tcPr>
          <w:p w14:paraId="456C82AC" w14:textId="77777777" w:rsidR="008849F5" w:rsidRPr="00993CCE" w:rsidRDefault="00000000" w:rsidP="00993CCE">
            <w:pPr>
              <w:spacing w:after="20"/>
              <w:rPr>
                <w:rFonts w:hint="eastAsia"/>
                <w:color w:val="000000" w:themeColor="text1"/>
              </w:rPr>
            </w:pPr>
            <w:r w:rsidRPr="00993CCE">
              <w:rPr>
                <w:color w:val="000000" w:themeColor="text1"/>
                <w:sz w:val="17"/>
              </w:rPr>
              <w:t>Bounded management implication</w:t>
            </w:r>
          </w:p>
        </w:tc>
        <w:tc>
          <w:tcPr>
            <w:tcW w:w="5227" w:type="dxa"/>
            <w:tcMar>
              <w:top w:w="70" w:type="dxa"/>
              <w:left w:w="90" w:type="dxa"/>
              <w:bottom w:w="70" w:type="dxa"/>
              <w:right w:w="90" w:type="dxa"/>
            </w:tcMar>
          </w:tcPr>
          <w:p w14:paraId="6EDDD4A0" w14:textId="77777777" w:rsidR="008849F5" w:rsidRPr="00993CCE" w:rsidRDefault="00000000" w:rsidP="00993CCE">
            <w:pPr>
              <w:spacing w:after="20"/>
              <w:rPr>
                <w:rFonts w:hint="eastAsia"/>
                <w:color w:val="000000" w:themeColor="text1"/>
              </w:rPr>
            </w:pPr>
            <w:r w:rsidRPr="00993CCE">
              <w:rPr>
                <w:color w:val="000000" w:themeColor="text1"/>
              </w:rPr>
              <w:t>Compare staff-only, simple retrieval and the proposed agent on the same approved tasks before considering a live pilot. A simpler solution may be sufficient. The Adoption specialist owns go/no-go.</w:t>
            </w:r>
          </w:p>
        </w:tc>
      </w:tr>
      <w:tr w:rsidR="00993CCE" w:rsidRPr="00993CCE" w14:paraId="2A6B016B" w14:textId="77777777">
        <w:trPr>
          <w:cantSplit/>
          <w:jc w:val="center"/>
        </w:trPr>
        <w:tc>
          <w:tcPr>
            <w:tcW w:w="5227" w:type="dxa"/>
            <w:tcMar>
              <w:top w:w="70" w:type="dxa"/>
              <w:left w:w="90" w:type="dxa"/>
              <w:bottom w:w="70" w:type="dxa"/>
              <w:right w:w="90" w:type="dxa"/>
            </w:tcMar>
          </w:tcPr>
          <w:p w14:paraId="7239CF59" w14:textId="77777777" w:rsidR="008849F5" w:rsidRPr="00993CCE" w:rsidRDefault="00000000" w:rsidP="00993CCE">
            <w:pPr>
              <w:spacing w:after="20"/>
              <w:rPr>
                <w:rFonts w:hint="eastAsia"/>
                <w:color w:val="000000" w:themeColor="text1"/>
              </w:rPr>
            </w:pPr>
            <w:r w:rsidRPr="00993CCE">
              <w:rPr>
                <w:color w:val="000000" w:themeColor="text1"/>
                <w:sz w:val="17"/>
              </w:rPr>
              <w:t>Confidence / uncertainty</w:t>
            </w:r>
          </w:p>
        </w:tc>
        <w:tc>
          <w:tcPr>
            <w:tcW w:w="5227" w:type="dxa"/>
            <w:tcMar>
              <w:top w:w="70" w:type="dxa"/>
              <w:left w:w="90" w:type="dxa"/>
              <w:bottom w:w="70" w:type="dxa"/>
              <w:right w:w="90" w:type="dxa"/>
            </w:tcMar>
          </w:tcPr>
          <w:p w14:paraId="2ED487D0" w14:textId="77777777" w:rsidR="008849F5" w:rsidRPr="00993CCE" w:rsidRDefault="00000000" w:rsidP="00993CCE">
            <w:pPr>
              <w:spacing w:after="20"/>
              <w:rPr>
                <w:rFonts w:hint="eastAsia"/>
                <w:color w:val="000000" w:themeColor="text1"/>
              </w:rPr>
            </w:pPr>
            <w:r w:rsidRPr="00993CCE">
              <w:rPr>
                <w:color w:val="000000" w:themeColor="text1"/>
              </w:rPr>
              <w:t>Moderate confidence in the conditional mechanism; low confidence in size, timing and actual SPS novelty. Internal systems, response delays and cost savings are not verified.</w:t>
            </w:r>
          </w:p>
        </w:tc>
      </w:tr>
      <w:tr w:rsidR="00993CCE" w:rsidRPr="00993CCE" w14:paraId="145B5D10" w14:textId="77777777">
        <w:trPr>
          <w:cantSplit/>
          <w:jc w:val="center"/>
        </w:trPr>
        <w:tc>
          <w:tcPr>
            <w:tcW w:w="5227" w:type="dxa"/>
            <w:tcMar>
              <w:top w:w="70" w:type="dxa"/>
              <w:left w:w="90" w:type="dxa"/>
              <w:bottom w:w="70" w:type="dxa"/>
              <w:right w:w="90" w:type="dxa"/>
            </w:tcMar>
          </w:tcPr>
          <w:p w14:paraId="66222AF4" w14:textId="77777777" w:rsidR="008849F5" w:rsidRPr="00993CCE" w:rsidRDefault="00000000" w:rsidP="00993CCE">
            <w:pPr>
              <w:spacing w:after="20"/>
              <w:rPr>
                <w:rFonts w:hint="eastAsia"/>
                <w:color w:val="000000" w:themeColor="text1"/>
              </w:rPr>
            </w:pPr>
            <w:r w:rsidRPr="00993CCE">
              <w:rPr>
                <w:color w:val="000000" w:themeColor="text1"/>
                <w:sz w:val="17"/>
              </w:rPr>
              <w:t>What evidence or condition would change the conclusion</w:t>
            </w:r>
          </w:p>
        </w:tc>
        <w:tc>
          <w:tcPr>
            <w:tcW w:w="5227" w:type="dxa"/>
            <w:tcMar>
              <w:top w:w="70" w:type="dxa"/>
              <w:left w:w="90" w:type="dxa"/>
              <w:bottom w:w="70" w:type="dxa"/>
              <w:right w:w="90" w:type="dxa"/>
            </w:tcMar>
          </w:tcPr>
          <w:p w14:paraId="47D6BE9D" w14:textId="77777777" w:rsidR="008849F5" w:rsidRPr="00993CCE" w:rsidRDefault="00000000" w:rsidP="00993CCE">
            <w:pPr>
              <w:spacing w:after="20"/>
              <w:rPr>
                <w:rFonts w:hint="eastAsia"/>
                <w:color w:val="000000" w:themeColor="text1"/>
              </w:rPr>
            </w:pPr>
            <w:r w:rsidRPr="00993CCE">
              <w:rPr>
                <w:color w:val="000000" w:themeColor="text1"/>
              </w:rPr>
              <w:t>Lower the claim if review costs erase benefits or simple retrieval performs equally well. Reassess upward only with evidence of material channel, intermediary or revenue change. Do not infer enrollment gains from faster replies.</w:t>
            </w:r>
          </w:p>
        </w:tc>
      </w:tr>
    </w:tbl>
    <w:p w14:paraId="100DE1FE" w14:textId="77777777" w:rsidR="008849F5" w:rsidRPr="00993CCE" w:rsidRDefault="00000000" w:rsidP="00993CCE">
      <w:pPr>
        <w:pStyle w:val="Heading2"/>
        <w:rPr>
          <w:color w:val="000000" w:themeColor="text1"/>
        </w:rPr>
      </w:pPr>
      <w:r w:rsidRPr="00993CCE">
        <w:rPr>
          <w:color w:val="000000" w:themeColor="text1"/>
        </w:rPr>
        <w:t>Classification rules</w:t>
      </w:r>
    </w:p>
    <w:p w14:paraId="7FA38312" w14:textId="77777777" w:rsidR="008849F5" w:rsidRPr="00993CCE" w:rsidRDefault="00000000" w:rsidP="00993CCE">
      <w:pPr>
        <w:rPr>
          <w:rFonts w:hint="eastAsia"/>
          <w:color w:val="000000" w:themeColor="text1"/>
        </w:rPr>
      </w:pPr>
      <w:r w:rsidRPr="00993CCE">
        <w:rPr>
          <w:color w:val="000000" w:themeColor="text1"/>
        </w:rPr>
        <w:t>Use related dimensions rather than one exclusive label. Invention creates a technical capability; innovation requires meaningful implementation; entrepreneurship organizes an offering and value capture [C1, S1]. Availability alone does not establish profitability.</w:t>
      </w:r>
    </w:p>
    <w:p w14:paraId="3EE8336A" w14:textId="77777777" w:rsidR="008849F5" w:rsidRPr="00993CCE" w:rsidRDefault="00000000" w:rsidP="00993CCE">
      <w:pPr>
        <w:rPr>
          <w:rFonts w:hint="eastAsia"/>
          <w:color w:val="000000" w:themeColor="text1"/>
        </w:rPr>
      </w:pPr>
      <w:r w:rsidRPr="00993CCE">
        <w:rPr>
          <w:color w:val="000000" w:themeColor="text1"/>
        </w:rPr>
        <w:t>Incremental change improves an existing operating logic. A breakthrough needs demonstrated capability beyond a named baseline. These are transparent operational rules for this assignment. Local novelty is separate from global novelty; broader barrier dissolution belongs to the Promethean specialist [C3].</w:t>
      </w:r>
    </w:p>
    <w:p w14:paraId="6D09364F" w14:textId="77777777" w:rsidR="008849F5" w:rsidRPr="00993CCE" w:rsidRDefault="00000000" w:rsidP="00993CCE">
      <w:pPr>
        <w:rPr>
          <w:rFonts w:hint="eastAsia"/>
          <w:color w:val="000000" w:themeColor="text1"/>
        </w:rPr>
      </w:pPr>
      <w:r w:rsidRPr="00993CCE">
        <w:rPr>
          <w:color w:val="000000" w:themeColor="text1"/>
        </w:rPr>
        <w:t>Rating anchors: Low = local improvement with the business model intact. Moderate = material activity, cost or channel change. High = threat to core revenue logic or the intermediary role. Potentially Existential = supported loss of viability without a feasible response. Use Insufficient evidence when a responsible rating cannot be supported.</w:t>
      </w:r>
    </w:p>
    <w:p w14:paraId="15755582" w14:textId="77777777" w:rsidR="008849F5" w:rsidRPr="00993CCE" w:rsidRDefault="00000000" w:rsidP="00993CCE">
      <w:pPr>
        <w:pStyle w:val="Heading1"/>
        <w:pageBreakBefore/>
        <w:rPr>
          <w:color w:val="000000" w:themeColor="text1"/>
        </w:rPr>
      </w:pPr>
      <w:r w:rsidRPr="00993CCE">
        <w:rPr>
          <w:color w:val="000000" w:themeColor="text1"/>
        </w:rPr>
        <w:lastRenderedPageBreak/>
        <w:t>D. Evidence and Testing</w:t>
      </w:r>
    </w:p>
    <w:tbl>
      <w:tblPr>
        <w:tblStyle w:val="TableGrid"/>
        <w:tblW w:w="0" w:type="auto"/>
        <w:jc w:val="center"/>
        <w:tblLook w:val="04A0" w:firstRow="1" w:lastRow="0" w:firstColumn="1" w:lastColumn="0" w:noHBand="0" w:noVBand="1"/>
      </w:tblPr>
      <w:tblGrid>
        <w:gridCol w:w="5222"/>
        <w:gridCol w:w="5222"/>
      </w:tblGrid>
      <w:tr w:rsidR="00993CCE" w:rsidRPr="00993CCE" w14:paraId="4D4AB727" w14:textId="77777777" w:rsidTr="00993CCE">
        <w:trPr>
          <w:cantSplit/>
          <w:tblHeader/>
          <w:jc w:val="center"/>
        </w:trPr>
        <w:tc>
          <w:tcPr>
            <w:tcW w:w="5227" w:type="dxa"/>
            <w:tcMar>
              <w:top w:w="70" w:type="dxa"/>
              <w:left w:w="90" w:type="dxa"/>
              <w:bottom w:w="70" w:type="dxa"/>
              <w:right w:w="90" w:type="dxa"/>
            </w:tcMar>
          </w:tcPr>
          <w:p w14:paraId="515E29C7" w14:textId="77777777" w:rsidR="008849F5" w:rsidRPr="00993CCE" w:rsidRDefault="00000000" w:rsidP="00993CCE">
            <w:pPr>
              <w:spacing w:after="20"/>
              <w:rPr>
                <w:rFonts w:hint="eastAsia"/>
                <w:color w:val="000000" w:themeColor="text1"/>
              </w:rPr>
            </w:pPr>
            <w:r w:rsidRPr="00993CCE">
              <w:rPr>
                <w:b/>
                <w:color w:val="000000" w:themeColor="text1"/>
                <w:sz w:val="17"/>
              </w:rPr>
              <w:t>Field</w:t>
            </w:r>
          </w:p>
        </w:tc>
        <w:tc>
          <w:tcPr>
            <w:tcW w:w="5227" w:type="dxa"/>
            <w:tcMar>
              <w:top w:w="70" w:type="dxa"/>
              <w:left w:w="90" w:type="dxa"/>
              <w:bottom w:w="70" w:type="dxa"/>
              <w:right w:w="90" w:type="dxa"/>
            </w:tcMar>
          </w:tcPr>
          <w:p w14:paraId="2475910F" w14:textId="77777777" w:rsidR="008849F5" w:rsidRPr="00993CCE" w:rsidRDefault="00000000" w:rsidP="00993CCE">
            <w:pPr>
              <w:spacing w:after="20"/>
              <w:rPr>
                <w:rFonts w:hint="eastAsia"/>
                <w:color w:val="000000" w:themeColor="text1"/>
              </w:rPr>
            </w:pPr>
            <w:r w:rsidRPr="00993CCE">
              <w:rPr>
                <w:b/>
                <w:color w:val="000000" w:themeColor="text1"/>
                <w:sz w:val="17"/>
              </w:rPr>
              <w:t>Student record</w:t>
            </w:r>
          </w:p>
        </w:tc>
      </w:tr>
      <w:tr w:rsidR="00993CCE" w:rsidRPr="00993CCE" w14:paraId="1053A217" w14:textId="77777777">
        <w:trPr>
          <w:cantSplit/>
          <w:jc w:val="center"/>
        </w:trPr>
        <w:tc>
          <w:tcPr>
            <w:tcW w:w="5227" w:type="dxa"/>
            <w:tcMar>
              <w:top w:w="70" w:type="dxa"/>
              <w:left w:w="90" w:type="dxa"/>
              <w:bottom w:w="70" w:type="dxa"/>
              <w:right w:w="90" w:type="dxa"/>
            </w:tcMar>
          </w:tcPr>
          <w:p w14:paraId="466130AE" w14:textId="77777777" w:rsidR="008849F5" w:rsidRPr="00993CCE" w:rsidRDefault="00000000" w:rsidP="00993CCE">
            <w:pPr>
              <w:spacing w:after="20"/>
              <w:rPr>
                <w:rFonts w:hint="eastAsia"/>
                <w:color w:val="000000" w:themeColor="text1"/>
              </w:rPr>
            </w:pPr>
            <w:r w:rsidRPr="00993CCE">
              <w:rPr>
                <w:color w:val="000000" w:themeColor="text1"/>
                <w:sz w:val="17"/>
              </w:rPr>
              <w:t>Most important evidence/source(s)</w:t>
            </w:r>
          </w:p>
        </w:tc>
        <w:tc>
          <w:tcPr>
            <w:tcW w:w="5227" w:type="dxa"/>
            <w:tcMar>
              <w:top w:w="70" w:type="dxa"/>
              <w:left w:w="90" w:type="dxa"/>
              <w:bottom w:w="70" w:type="dxa"/>
              <w:right w:w="90" w:type="dxa"/>
            </w:tcMar>
          </w:tcPr>
          <w:p w14:paraId="19955110" w14:textId="77777777" w:rsidR="008849F5" w:rsidRPr="00993CCE" w:rsidRDefault="00000000" w:rsidP="00993CCE">
            <w:pPr>
              <w:spacing w:after="20"/>
              <w:rPr>
                <w:rFonts w:hint="eastAsia"/>
                <w:color w:val="000000" w:themeColor="text1"/>
              </w:rPr>
            </w:pPr>
            <w:r w:rsidRPr="00993CCE">
              <w:rPr>
                <w:color w:val="000000" w:themeColor="text1"/>
              </w:rPr>
              <w:t>C1-C2: course definitions and severity/time matrix. S1: implementation gate. S2-S3: architecture and commercial availability. S4: NYU public channels. S5: older outreach counterexample. S6: risk framework. Full references are in Appendix B.</w:t>
            </w:r>
          </w:p>
        </w:tc>
      </w:tr>
      <w:tr w:rsidR="00993CCE" w:rsidRPr="00993CCE" w14:paraId="574EE645" w14:textId="77777777">
        <w:trPr>
          <w:cantSplit/>
          <w:jc w:val="center"/>
        </w:trPr>
        <w:tc>
          <w:tcPr>
            <w:tcW w:w="5227" w:type="dxa"/>
            <w:tcMar>
              <w:top w:w="70" w:type="dxa"/>
              <w:left w:w="90" w:type="dxa"/>
              <w:bottom w:w="70" w:type="dxa"/>
              <w:right w:w="90" w:type="dxa"/>
            </w:tcMar>
          </w:tcPr>
          <w:p w14:paraId="737E0692" w14:textId="77777777" w:rsidR="008849F5" w:rsidRPr="00993CCE" w:rsidRDefault="00000000" w:rsidP="00993CCE">
            <w:pPr>
              <w:spacing w:after="20"/>
              <w:rPr>
                <w:rFonts w:hint="eastAsia"/>
                <w:color w:val="000000" w:themeColor="text1"/>
              </w:rPr>
            </w:pPr>
            <w:r w:rsidRPr="00993CCE">
              <w:rPr>
                <w:color w:val="000000" w:themeColor="text1"/>
                <w:sz w:val="17"/>
              </w:rPr>
              <w:t>Primary test - result</w:t>
            </w:r>
          </w:p>
        </w:tc>
        <w:tc>
          <w:tcPr>
            <w:tcW w:w="5227" w:type="dxa"/>
            <w:tcMar>
              <w:top w:w="70" w:type="dxa"/>
              <w:left w:w="90" w:type="dxa"/>
              <w:bottom w:w="70" w:type="dxa"/>
              <w:right w:w="90" w:type="dxa"/>
            </w:tcMar>
          </w:tcPr>
          <w:p w14:paraId="44CF1469" w14:textId="77777777" w:rsidR="008849F5" w:rsidRPr="00993CCE" w:rsidRDefault="00000000" w:rsidP="00993CCE">
            <w:pPr>
              <w:spacing w:after="20"/>
              <w:rPr>
                <w:rFonts w:hint="eastAsia"/>
                <w:color w:val="000000" w:themeColor="text1"/>
              </w:rPr>
            </w:pPr>
            <w:r w:rsidRPr="00993CCE">
              <w:rPr>
                <w:color w:val="000000" w:themeColor="text1"/>
              </w:rPr>
              <w:t>v1.1 preserves a proposed process-innovation finding and Moderate conditional support-workflow exposure. The recorded JSON passes both the supplied validator and stricter contract checks.</w:t>
            </w:r>
          </w:p>
        </w:tc>
      </w:tr>
      <w:tr w:rsidR="00993CCE" w:rsidRPr="00993CCE" w14:paraId="3C9BBEC7" w14:textId="77777777">
        <w:trPr>
          <w:cantSplit/>
          <w:jc w:val="center"/>
        </w:trPr>
        <w:tc>
          <w:tcPr>
            <w:tcW w:w="5227" w:type="dxa"/>
            <w:tcMar>
              <w:top w:w="70" w:type="dxa"/>
              <w:left w:w="90" w:type="dxa"/>
              <w:bottom w:w="70" w:type="dxa"/>
              <w:right w:w="90" w:type="dxa"/>
            </w:tcMar>
          </w:tcPr>
          <w:p w14:paraId="08E4D503" w14:textId="77777777" w:rsidR="008849F5" w:rsidRPr="00993CCE" w:rsidRDefault="00000000" w:rsidP="00993CCE">
            <w:pPr>
              <w:spacing w:after="20"/>
              <w:rPr>
                <w:rFonts w:hint="eastAsia"/>
                <w:color w:val="000000" w:themeColor="text1"/>
              </w:rPr>
            </w:pPr>
            <w:r w:rsidRPr="00993CCE">
              <w:rPr>
                <w:color w:val="000000" w:themeColor="text1"/>
                <w:sz w:val="17"/>
              </w:rPr>
              <w:t>Contrast test - what appropriately stayed stable</w:t>
            </w:r>
          </w:p>
        </w:tc>
        <w:tc>
          <w:tcPr>
            <w:tcW w:w="5227" w:type="dxa"/>
            <w:tcMar>
              <w:top w:w="70" w:type="dxa"/>
              <w:left w:w="90" w:type="dxa"/>
              <w:bottom w:w="70" w:type="dxa"/>
              <w:right w:w="90" w:type="dxa"/>
            </w:tcMar>
          </w:tcPr>
          <w:p w14:paraId="4DCC95CD" w14:textId="77777777" w:rsidR="008849F5" w:rsidRPr="00993CCE" w:rsidRDefault="00000000" w:rsidP="00993CCE">
            <w:pPr>
              <w:spacing w:after="20"/>
              <w:rPr>
                <w:rFonts w:hint="eastAsia"/>
                <w:color w:val="000000" w:themeColor="text1"/>
              </w:rPr>
            </w:pPr>
            <w:r w:rsidRPr="00993CCE">
              <w:rPr>
                <w:color w:val="000000" w:themeColor="text1"/>
              </w:rPr>
              <w:t>Technology, general classification and implementation caution. Each round deliberately retains the same general-technology paragraph across all three outputs.</w:t>
            </w:r>
          </w:p>
        </w:tc>
      </w:tr>
      <w:tr w:rsidR="00993CCE" w:rsidRPr="00993CCE" w14:paraId="2CDA2B30" w14:textId="77777777">
        <w:trPr>
          <w:cantSplit/>
          <w:jc w:val="center"/>
        </w:trPr>
        <w:tc>
          <w:tcPr>
            <w:tcW w:w="5227" w:type="dxa"/>
            <w:tcMar>
              <w:top w:w="70" w:type="dxa"/>
              <w:left w:w="90" w:type="dxa"/>
              <w:bottom w:w="70" w:type="dxa"/>
              <w:right w:w="90" w:type="dxa"/>
            </w:tcMar>
          </w:tcPr>
          <w:p w14:paraId="3DF2A1F3" w14:textId="77777777" w:rsidR="008849F5" w:rsidRPr="00993CCE" w:rsidRDefault="00000000" w:rsidP="00993CCE">
            <w:pPr>
              <w:spacing w:after="20"/>
              <w:rPr>
                <w:rFonts w:hint="eastAsia"/>
                <w:color w:val="000000" w:themeColor="text1"/>
              </w:rPr>
            </w:pPr>
            <w:r w:rsidRPr="00993CCE">
              <w:rPr>
                <w:color w:val="000000" w:themeColor="text1"/>
                <w:sz w:val="17"/>
              </w:rPr>
              <w:t>Contrast test - what appropriately changed</w:t>
            </w:r>
          </w:p>
        </w:tc>
        <w:tc>
          <w:tcPr>
            <w:tcW w:w="5227" w:type="dxa"/>
            <w:tcMar>
              <w:top w:w="70" w:type="dxa"/>
              <w:left w:w="90" w:type="dxa"/>
              <w:bottom w:w="70" w:type="dxa"/>
              <w:right w:w="90" w:type="dxa"/>
            </w:tcMar>
          </w:tcPr>
          <w:p w14:paraId="203BAFF6" w14:textId="77777777" w:rsidR="008849F5" w:rsidRPr="00993CCE" w:rsidRDefault="00000000" w:rsidP="00993CCE">
            <w:pPr>
              <w:spacing w:after="20"/>
              <w:rPr>
                <w:rFonts w:hint="eastAsia"/>
                <w:color w:val="000000" w:themeColor="text1"/>
              </w:rPr>
            </w:pPr>
            <w:r w:rsidRPr="00993CCE">
              <w:rPr>
                <w:color w:val="000000" w:themeColor="text1"/>
              </w:rPr>
              <w:t>High conditional exposure for a synthetic service provider whose assumed core revenue is routine counselor hours. This changes the value-capture mechanism, not the underlying technology.</w:t>
            </w:r>
          </w:p>
        </w:tc>
      </w:tr>
      <w:tr w:rsidR="00993CCE" w:rsidRPr="00993CCE" w14:paraId="10AF62B1" w14:textId="77777777">
        <w:trPr>
          <w:cantSplit/>
          <w:jc w:val="center"/>
        </w:trPr>
        <w:tc>
          <w:tcPr>
            <w:tcW w:w="5227" w:type="dxa"/>
            <w:tcMar>
              <w:top w:w="70" w:type="dxa"/>
              <w:left w:w="90" w:type="dxa"/>
              <w:bottom w:w="70" w:type="dxa"/>
              <w:right w:w="90" w:type="dxa"/>
            </w:tcMar>
          </w:tcPr>
          <w:p w14:paraId="48B79A77" w14:textId="77777777" w:rsidR="008849F5" w:rsidRPr="00993CCE" w:rsidRDefault="00000000" w:rsidP="00993CCE">
            <w:pPr>
              <w:spacing w:after="20"/>
              <w:rPr>
                <w:rFonts w:hint="eastAsia"/>
                <w:color w:val="000000" w:themeColor="text1"/>
              </w:rPr>
            </w:pPr>
            <w:r w:rsidRPr="00993CCE">
              <w:rPr>
                <w:color w:val="000000" w:themeColor="text1"/>
                <w:sz w:val="17"/>
              </w:rPr>
              <w:t>Weakness/failure found</w:t>
            </w:r>
          </w:p>
        </w:tc>
        <w:tc>
          <w:tcPr>
            <w:tcW w:w="5227" w:type="dxa"/>
            <w:tcMar>
              <w:top w:w="70" w:type="dxa"/>
              <w:left w:w="90" w:type="dxa"/>
              <w:bottom w:w="70" w:type="dxa"/>
              <w:right w:w="90" w:type="dxa"/>
            </w:tcMar>
          </w:tcPr>
          <w:p w14:paraId="46ADB2C1" w14:textId="77777777" w:rsidR="008849F5" w:rsidRPr="00993CCE" w:rsidRDefault="00000000" w:rsidP="00993CCE">
            <w:pPr>
              <w:spacing w:after="20"/>
              <w:rPr>
                <w:rFonts w:hint="eastAsia"/>
                <w:color w:val="000000" w:themeColor="text1"/>
              </w:rPr>
            </w:pPr>
            <w:r w:rsidRPr="00993CCE">
              <w:rPr>
                <w:color w:val="000000" w:themeColor="text1"/>
              </w:rPr>
              <w:t>v1.0 assigned Low to the FAQ case despite admitting that its baseline and economics were missing. Ratings lacked explicit anchors and monitoring triggers were too vague.</w:t>
            </w:r>
          </w:p>
        </w:tc>
      </w:tr>
      <w:tr w:rsidR="00993CCE" w:rsidRPr="00993CCE" w14:paraId="2769977A" w14:textId="77777777">
        <w:trPr>
          <w:cantSplit/>
          <w:jc w:val="center"/>
        </w:trPr>
        <w:tc>
          <w:tcPr>
            <w:tcW w:w="5227" w:type="dxa"/>
            <w:tcMar>
              <w:top w:w="70" w:type="dxa"/>
              <w:left w:w="90" w:type="dxa"/>
              <w:bottom w:w="70" w:type="dxa"/>
              <w:right w:w="90" w:type="dxa"/>
            </w:tcMar>
          </w:tcPr>
          <w:p w14:paraId="3369EC34" w14:textId="77777777" w:rsidR="008849F5" w:rsidRPr="00993CCE" w:rsidRDefault="00000000" w:rsidP="00993CCE">
            <w:pPr>
              <w:spacing w:after="20"/>
              <w:rPr>
                <w:rFonts w:hint="eastAsia"/>
                <w:color w:val="000000" w:themeColor="text1"/>
              </w:rPr>
            </w:pPr>
            <w:r w:rsidRPr="00993CCE">
              <w:rPr>
                <w:color w:val="000000" w:themeColor="text1"/>
                <w:sz w:val="17"/>
              </w:rPr>
              <w:t>Revision made and why</w:t>
            </w:r>
          </w:p>
        </w:tc>
        <w:tc>
          <w:tcPr>
            <w:tcW w:w="5227" w:type="dxa"/>
            <w:tcMar>
              <w:top w:w="70" w:type="dxa"/>
              <w:left w:w="90" w:type="dxa"/>
              <w:bottom w:w="70" w:type="dxa"/>
              <w:right w:w="90" w:type="dxa"/>
            </w:tcMar>
          </w:tcPr>
          <w:p w14:paraId="019760CF" w14:textId="77777777" w:rsidR="008849F5" w:rsidRPr="00993CCE" w:rsidRDefault="00000000" w:rsidP="00993CCE">
            <w:pPr>
              <w:spacing w:after="20"/>
              <w:rPr>
                <w:rFonts w:hint="eastAsia"/>
                <w:color w:val="000000" w:themeColor="text1"/>
              </w:rPr>
            </w:pPr>
            <w:r w:rsidRPr="00993CCE">
              <w:rPr>
                <w:color w:val="000000" w:themeColor="text1"/>
              </w:rPr>
              <w:t>v1.1 adds rating anchors, explicit abstention, causal economics, the course severity/time lens and comparison-based triggers. The same inputs were rerun; first outputs remain unchanged.</w:t>
            </w:r>
          </w:p>
        </w:tc>
      </w:tr>
      <w:tr w:rsidR="00993CCE" w:rsidRPr="00993CCE" w14:paraId="5A0F97E2" w14:textId="77777777">
        <w:trPr>
          <w:cantSplit/>
          <w:jc w:val="center"/>
        </w:trPr>
        <w:tc>
          <w:tcPr>
            <w:tcW w:w="5227" w:type="dxa"/>
            <w:tcMar>
              <w:top w:w="70" w:type="dxa"/>
              <w:left w:w="90" w:type="dxa"/>
              <w:bottom w:w="70" w:type="dxa"/>
              <w:right w:w="90" w:type="dxa"/>
            </w:tcMar>
          </w:tcPr>
          <w:p w14:paraId="18E4F898" w14:textId="77777777" w:rsidR="008849F5" w:rsidRPr="00993CCE" w:rsidRDefault="00000000" w:rsidP="00993CCE">
            <w:pPr>
              <w:spacing w:after="20"/>
              <w:rPr>
                <w:rFonts w:hint="eastAsia"/>
                <w:color w:val="000000" w:themeColor="text1"/>
              </w:rPr>
            </w:pPr>
            <w:r w:rsidRPr="00993CCE">
              <w:rPr>
                <w:color w:val="000000" w:themeColor="text1"/>
                <w:sz w:val="17"/>
              </w:rPr>
              <w:t>Remaining limitation / abstention condition</w:t>
            </w:r>
          </w:p>
        </w:tc>
        <w:tc>
          <w:tcPr>
            <w:tcW w:w="5227" w:type="dxa"/>
            <w:tcMar>
              <w:top w:w="70" w:type="dxa"/>
              <w:left w:w="90" w:type="dxa"/>
              <w:bottom w:w="70" w:type="dxa"/>
              <w:right w:w="90" w:type="dxa"/>
            </w:tcMar>
          </w:tcPr>
          <w:p w14:paraId="232192F5" w14:textId="77777777" w:rsidR="008849F5" w:rsidRPr="00993CCE" w:rsidRDefault="00000000" w:rsidP="00993CCE">
            <w:pPr>
              <w:spacing w:after="20"/>
              <w:rPr>
                <w:rFonts w:hint="eastAsia"/>
                <w:color w:val="000000" w:themeColor="text1"/>
              </w:rPr>
            </w:pPr>
            <w:r w:rsidRPr="00993CCE">
              <w:rPr>
                <w:color w:val="000000" w:themeColor="text1"/>
              </w:rPr>
              <w:t>Three small diagnostic cases in one Codex conversation; no blinded evaluation, real SPS deployment, financial result or applicant experiment. Team acceptance and actual suitability remain unproven.</w:t>
            </w:r>
          </w:p>
        </w:tc>
      </w:tr>
    </w:tbl>
    <w:p w14:paraId="23429740" w14:textId="77777777" w:rsidR="008849F5" w:rsidRPr="00993CCE" w:rsidRDefault="00000000" w:rsidP="00993CCE">
      <w:pPr>
        <w:pStyle w:val="Heading2"/>
        <w:rPr>
          <w:color w:val="000000" w:themeColor="text1"/>
        </w:rPr>
      </w:pPr>
      <w:r w:rsidRPr="00993CCE">
        <w:rPr>
          <w:color w:val="000000" w:themeColor="text1"/>
        </w:rPr>
        <w:t>Two rounds of diagnostic testing</w:t>
      </w:r>
    </w:p>
    <w:p w14:paraId="4CB141D3" w14:textId="77777777" w:rsidR="008849F5" w:rsidRPr="00993CCE" w:rsidRDefault="00000000" w:rsidP="00993CCE">
      <w:pPr>
        <w:rPr>
          <w:rFonts w:hint="eastAsia"/>
          <w:color w:val="000000" w:themeColor="text1"/>
        </w:rPr>
      </w:pPr>
      <w:r w:rsidRPr="00993CCE">
        <w:rPr>
          <w:color w:val="000000" w:themeColor="text1"/>
        </w:rPr>
        <w:t>Round 1: three inputs produced valid JSON, but the qualitative review found unsupported rating precision and weak monitoring. Round 2: the same inputs were answered using revised instructions. The FAQ verdict changed from Low to Insufficient evidence; the SPS/provider difference remained conditional and economically explained.</w:t>
      </w:r>
    </w:p>
    <w:p w14:paraId="473711BF" w14:textId="77777777" w:rsidR="008849F5" w:rsidRPr="00993CCE" w:rsidRDefault="00000000" w:rsidP="00993CCE">
      <w:pPr>
        <w:rPr>
          <w:rFonts w:hint="eastAsia"/>
          <w:color w:val="000000" w:themeColor="text1"/>
        </w:rPr>
      </w:pPr>
      <w:r w:rsidRPr="00993CCE">
        <w:rPr>
          <w:color w:val="000000" w:themeColor="text1"/>
        </w:rPr>
        <w:t>All six archived responses passed contract checks. Thirteen structural/integrity checks passed, including frozen-core integrity, input consistency and prompt/response hashes. These checks do not prove factual accuracy, deployment safety or business performance.</w:t>
      </w:r>
    </w:p>
    <w:p w14:paraId="26B09AEA" w14:textId="77777777" w:rsidR="008849F5" w:rsidRPr="00993CCE" w:rsidRDefault="00000000" w:rsidP="00993CCE">
      <w:pPr>
        <w:rPr>
          <w:rFonts w:hint="eastAsia"/>
          <w:color w:val="000000" w:themeColor="text1"/>
        </w:rPr>
      </w:pPr>
      <w:r w:rsidRPr="00993CCE">
        <w:rPr>
          <w:color w:val="000000" w:themeColor="text1"/>
        </w:rPr>
        <w:t>Title clarification: the course schedule reads “HW 3 - Sub Agent 2” followed by “Cycles” [C4]. The 2 numbers the specialist. Two test rounds document improvement; they are not claimed as an explicit two-cycle requirement.</w:t>
      </w:r>
    </w:p>
    <w:p w14:paraId="6033C445" w14:textId="77777777" w:rsidR="008849F5" w:rsidRPr="00993CCE" w:rsidRDefault="00000000" w:rsidP="00993CCE">
      <w:pPr>
        <w:pStyle w:val="Heading1"/>
        <w:pageBreakBefore/>
        <w:rPr>
          <w:color w:val="000000" w:themeColor="text1"/>
        </w:rPr>
      </w:pPr>
      <w:r w:rsidRPr="00993CCE">
        <w:rPr>
          <w:color w:val="000000" w:themeColor="text1"/>
        </w:rPr>
        <w:lastRenderedPageBreak/>
        <w:t>E. Independent Judgment and Handoff</w:t>
      </w:r>
    </w:p>
    <w:tbl>
      <w:tblPr>
        <w:tblStyle w:val="TableGrid"/>
        <w:tblW w:w="0" w:type="auto"/>
        <w:jc w:val="center"/>
        <w:tblLook w:val="04A0" w:firstRow="1" w:lastRow="0" w:firstColumn="1" w:lastColumn="0" w:noHBand="0" w:noVBand="1"/>
      </w:tblPr>
      <w:tblGrid>
        <w:gridCol w:w="5222"/>
        <w:gridCol w:w="5222"/>
      </w:tblGrid>
      <w:tr w:rsidR="00993CCE" w:rsidRPr="00993CCE" w14:paraId="34CE5155" w14:textId="77777777" w:rsidTr="00993CCE">
        <w:trPr>
          <w:cantSplit/>
          <w:tblHeader/>
          <w:jc w:val="center"/>
        </w:trPr>
        <w:tc>
          <w:tcPr>
            <w:tcW w:w="5227" w:type="dxa"/>
            <w:tcMar>
              <w:top w:w="70" w:type="dxa"/>
              <w:left w:w="90" w:type="dxa"/>
              <w:bottom w:w="70" w:type="dxa"/>
              <w:right w:w="90" w:type="dxa"/>
            </w:tcMar>
          </w:tcPr>
          <w:p w14:paraId="3CFD6CEC" w14:textId="77777777" w:rsidR="008849F5" w:rsidRPr="00993CCE" w:rsidRDefault="00000000" w:rsidP="00993CCE">
            <w:pPr>
              <w:spacing w:after="20"/>
              <w:rPr>
                <w:rFonts w:hint="eastAsia"/>
                <w:color w:val="000000" w:themeColor="text1"/>
              </w:rPr>
            </w:pPr>
            <w:r w:rsidRPr="00993CCE">
              <w:rPr>
                <w:b/>
                <w:color w:val="000000" w:themeColor="text1"/>
                <w:sz w:val="17"/>
              </w:rPr>
              <w:t>Field</w:t>
            </w:r>
          </w:p>
        </w:tc>
        <w:tc>
          <w:tcPr>
            <w:tcW w:w="5227" w:type="dxa"/>
            <w:tcMar>
              <w:top w:w="70" w:type="dxa"/>
              <w:left w:w="90" w:type="dxa"/>
              <w:bottom w:w="70" w:type="dxa"/>
              <w:right w:w="90" w:type="dxa"/>
            </w:tcMar>
          </w:tcPr>
          <w:p w14:paraId="61487C1D" w14:textId="77777777" w:rsidR="008849F5" w:rsidRPr="00993CCE" w:rsidRDefault="00000000" w:rsidP="00993CCE">
            <w:pPr>
              <w:spacing w:after="20"/>
              <w:rPr>
                <w:rFonts w:hint="eastAsia"/>
                <w:color w:val="000000" w:themeColor="text1"/>
              </w:rPr>
            </w:pPr>
            <w:r w:rsidRPr="00993CCE">
              <w:rPr>
                <w:b/>
                <w:color w:val="000000" w:themeColor="text1"/>
                <w:sz w:val="17"/>
              </w:rPr>
              <w:t>Student record</w:t>
            </w:r>
          </w:p>
        </w:tc>
      </w:tr>
      <w:tr w:rsidR="00993CCE" w:rsidRPr="00993CCE" w14:paraId="2A7AB6C7" w14:textId="77777777" w:rsidTr="00993CCE">
        <w:trPr>
          <w:cantSplit/>
          <w:trHeight w:val="1358"/>
          <w:jc w:val="center"/>
        </w:trPr>
        <w:tc>
          <w:tcPr>
            <w:tcW w:w="5227" w:type="dxa"/>
            <w:tcMar>
              <w:top w:w="70" w:type="dxa"/>
              <w:left w:w="90" w:type="dxa"/>
              <w:bottom w:w="70" w:type="dxa"/>
              <w:right w:w="90" w:type="dxa"/>
            </w:tcMar>
          </w:tcPr>
          <w:p w14:paraId="6A12F9D3" w14:textId="77777777" w:rsidR="008849F5" w:rsidRPr="00993CCE" w:rsidRDefault="00000000" w:rsidP="00993CCE">
            <w:pPr>
              <w:spacing w:after="20"/>
              <w:rPr>
                <w:rFonts w:hint="eastAsia"/>
                <w:color w:val="000000" w:themeColor="text1"/>
              </w:rPr>
            </w:pPr>
            <w:r w:rsidRPr="00993CCE">
              <w:rPr>
                <w:color w:val="000000" w:themeColor="text1"/>
                <w:sz w:val="17"/>
              </w:rPr>
              <w:t>Is the agent credible enough for team consideration? Why?</w:t>
            </w:r>
          </w:p>
        </w:tc>
        <w:tc>
          <w:tcPr>
            <w:tcW w:w="5227" w:type="dxa"/>
            <w:tcMar>
              <w:top w:w="70" w:type="dxa"/>
              <w:left w:w="90" w:type="dxa"/>
              <w:bottom w:w="70" w:type="dxa"/>
              <w:right w:w="90" w:type="dxa"/>
            </w:tcMar>
          </w:tcPr>
          <w:p w14:paraId="75070C95" w14:textId="2FF6172B" w:rsidR="008849F5" w:rsidRPr="00993CCE" w:rsidRDefault="00993CCE" w:rsidP="00993CCE">
            <w:pPr>
              <w:pStyle w:val="NormalWeb"/>
              <w:rPr>
                <w:rFonts w:ascii="Liberation Sans" w:eastAsiaTheme="minorEastAsia" w:hAnsi="Liberation Sans" w:cstheme="minorBidi" w:hint="eastAsia"/>
                <w:color w:val="000000" w:themeColor="text1"/>
                <w:sz w:val="19"/>
                <w:szCs w:val="22"/>
              </w:rPr>
            </w:pPr>
            <w:r w:rsidRPr="00993CCE">
              <w:rPr>
                <w:rFonts w:ascii="Liberation Sans" w:eastAsiaTheme="minorEastAsia" w:hAnsi="Liberation Sans" w:cstheme="minorBidi"/>
                <w:color w:val="000000" w:themeColor="text1"/>
                <w:sz w:val="19"/>
                <w:szCs w:val="22"/>
                <w:lang w:eastAsia="en-US"/>
              </w:rPr>
              <w:t>I would accept this agent for team consideration because it gives clear explanations and separates evidence from assumptions. The revised version also avoids making a judgment when information is missing. Its main limitation is that it has not been tested in a real admissions setting, so the team should verify its conclusions before using them.</w:t>
            </w:r>
          </w:p>
        </w:tc>
      </w:tr>
      <w:tr w:rsidR="00993CCE" w:rsidRPr="00993CCE" w14:paraId="604D7096" w14:textId="77777777">
        <w:trPr>
          <w:cantSplit/>
          <w:jc w:val="center"/>
        </w:trPr>
        <w:tc>
          <w:tcPr>
            <w:tcW w:w="5227" w:type="dxa"/>
            <w:tcMar>
              <w:top w:w="70" w:type="dxa"/>
              <w:left w:w="90" w:type="dxa"/>
              <w:bottom w:w="70" w:type="dxa"/>
              <w:right w:w="90" w:type="dxa"/>
            </w:tcMar>
          </w:tcPr>
          <w:p w14:paraId="40C2B381" w14:textId="77777777" w:rsidR="008849F5" w:rsidRPr="00993CCE" w:rsidRDefault="00000000" w:rsidP="00993CCE">
            <w:pPr>
              <w:spacing w:after="20"/>
              <w:rPr>
                <w:rFonts w:hint="eastAsia"/>
                <w:color w:val="000000" w:themeColor="text1"/>
              </w:rPr>
            </w:pPr>
            <w:r w:rsidRPr="00993CCE">
              <w:rPr>
                <w:color w:val="000000" w:themeColor="text1"/>
                <w:sz w:val="17"/>
              </w:rPr>
              <w:t>Most important recommendation to the team</w:t>
            </w:r>
          </w:p>
        </w:tc>
        <w:tc>
          <w:tcPr>
            <w:tcW w:w="5227" w:type="dxa"/>
            <w:tcMar>
              <w:top w:w="70" w:type="dxa"/>
              <w:left w:w="90" w:type="dxa"/>
              <w:bottom w:w="70" w:type="dxa"/>
              <w:right w:w="90" w:type="dxa"/>
            </w:tcMar>
          </w:tcPr>
          <w:p w14:paraId="086D3315" w14:textId="77777777" w:rsidR="008849F5" w:rsidRPr="00993CCE" w:rsidRDefault="00000000" w:rsidP="00993CCE">
            <w:pPr>
              <w:spacing w:after="20"/>
              <w:rPr>
                <w:rFonts w:hint="eastAsia"/>
                <w:color w:val="000000" w:themeColor="text1"/>
              </w:rPr>
            </w:pPr>
            <w:r w:rsidRPr="00993CCE">
              <w:rPr>
                <w:color w:val="000000" w:themeColor="text1"/>
              </w:rPr>
              <w:t>Preserve the distinction between technical novelty and business-model exposure. Keep the fixed-FAQ counter-case. Ask the team to rerun an unseen case independently and test the simpler alternative before treating the proposal as necessary.</w:t>
            </w:r>
          </w:p>
        </w:tc>
      </w:tr>
      <w:tr w:rsidR="00993CCE" w:rsidRPr="00993CCE" w14:paraId="7A9B20BC" w14:textId="77777777">
        <w:trPr>
          <w:cantSplit/>
          <w:jc w:val="center"/>
        </w:trPr>
        <w:tc>
          <w:tcPr>
            <w:tcW w:w="5227" w:type="dxa"/>
            <w:tcMar>
              <w:top w:w="70" w:type="dxa"/>
              <w:left w:w="90" w:type="dxa"/>
              <w:bottom w:w="70" w:type="dxa"/>
              <w:right w:w="90" w:type="dxa"/>
            </w:tcMar>
          </w:tcPr>
          <w:p w14:paraId="15E52108" w14:textId="77777777" w:rsidR="008849F5" w:rsidRPr="00993CCE" w:rsidRDefault="00000000" w:rsidP="00993CCE">
            <w:pPr>
              <w:spacing w:after="20"/>
              <w:rPr>
                <w:rFonts w:hint="eastAsia"/>
                <w:color w:val="000000" w:themeColor="text1"/>
              </w:rPr>
            </w:pPr>
            <w:r w:rsidRPr="00993CCE">
              <w:rPr>
                <w:color w:val="000000" w:themeColor="text1"/>
                <w:sz w:val="17"/>
              </w:rPr>
              <w:t xml:space="preserve">AI / verification </w:t>
            </w:r>
            <w:proofErr w:type="gramStart"/>
            <w:r w:rsidRPr="00993CCE">
              <w:rPr>
                <w:color w:val="000000" w:themeColor="text1"/>
                <w:sz w:val="17"/>
              </w:rPr>
              <w:t>note</w:t>
            </w:r>
            <w:proofErr w:type="gramEnd"/>
          </w:p>
        </w:tc>
        <w:tc>
          <w:tcPr>
            <w:tcW w:w="5227" w:type="dxa"/>
            <w:tcMar>
              <w:top w:w="70" w:type="dxa"/>
              <w:left w:w="90" w:type="dxa"/>
              <w:bottom w:w="70" w:type="dxa"/>
              <w:right w:w="90" w:type="dxa"/>
            </w:tcMar>
          </w:tcPr>
          <w:p w14:paraId="1230F106" w14:textId="036EBE08" w:rsidR="008849F5" w:rsidRPr="00993CCE" w:rsidRDefault="00993CCE" w:rsidP="00993CCE">
            <w:pPr>
              <w:spacing w:after="20"/>
              <w:rPr>
                <w:rFonts w:hint="eastAsia"/>
                <w:color w:val="000000" w:themeColor="text1"/>
              </w:rPr>
            </w:pPr>
            <w:r>
              <w:t>I used Codex to draft the agent, organize sources, and generate and check the test outputs. I reviewed the main conclusions, checked the cited sources, and compared the two test rounds. I made the final judgment about whether the agent was suitable for team consideration and wrote my own reflection. The agent has not been tested in a real admissions setting, and the AI-generated outputs were not independently evaluated.</w:t>
            </w:r>
          </w:p>
        </w:tc>
      </w:tr>
    </w:tbl>
    <w:p w14:paraId="2C43B6EC" w14:textId="77777777" w:rsidR="008849F5" w:rsidRPr="00993CCE" w:rsidRDefault="00000000" w:rsidP="00993CCE">
      <w:pPr>
        <w:pStyle w:val="Heading2"/>
        <w:rPr>
          <w:color w:val="000000" w:themeColor="text1"/>
        </w:rPr>
      </w:pPr>
      <w:r w:rsidRPr="00993CCE">
        <w:rPr>
          <w:color w:val="000000" w:themeColor="text1"/>
        </w:rPr>
        <w:t>Analytical conclusion for student review</w:t>
      </w:r>
    </w:p>
    <w:p w14:paraId="3CCD417E" w14:textId="77777777" w:rsidR="008849F5" w:rsidRPr="00993CCE" w:rsidRDefault="00000000" w:rsidP="00993CCE">
      <w:pPr>
        <w:rPr>
          <w:rFonts w:hint="eastAsia"/>
          <w:color w:val="000000" w:themeColor="text1"/>
        </w:rPr>
      </w:pPr>
      <w:r w:rsidRPr="00993CCE">
        <w:rPr>
          <w:color w:val="000000" w:themeColor="text1"/>
        </w:rPr>
        <w:t>The most defensible classification is a proposed incremental process innovation with a sustaining role at SPS. It could change recruitment support, but current evidence does not show that it changes the educational business model. The same design can threaten a provider that earns money from the very hours it automates. That difference supports contextual analysis, not a claim that agentic AI is always disruptive. The specialist is useful for team discussion, with its assumptions and limitations attached.</w:t>
      </w:r>
    </w:p>
    <w:p w14:paraId="29565CBC" w14:textId="77777777" w:rsidR="008849F5" w:rsidRPr="00993CCE" w:rsidRDefault="00000000" w:rsidP="00993CCE">
      <w:pPr>
        <w:pStyle w:val="Heading1"/>
        <w:rPr>
          <w:color w:val="000000" w:themeColor="text1"/>
        </w:rPr>
      </w:pPr>
      <w:r w:rsidRPr="00993CCE">
        <w:rPr>
          <w:color w:val="000000" w:themeColor="text1"/>
        </w:rPr>
        <w:t>F Personal reflection</w:t>
      </w:r>
    </w:p>
    <w:p w14:paraId="14A33D23" w14:textId="77777777" w:rsidR="00993CCE" w:rsidRPr="00993CCE" w:rsidRDefault="00993CCE" w:rsidP="00993CCE">
      <w:pPr>
        <w:pStyle w:val="NormalWeb"/>
        <w:rPr>
          <w:rFonts w:ascii="Liberation Sans" w:eastAsiaTheme="minorEastAsia" w:hAnsi="Liberation Sans" w:cstheme="minorBidi"/>
          <w:color w:val="000000" w:themeColor="text1"/>
          <w:sz w:val="19"/>
          <w:szCs w:val="22"/>
          <w:lang w:eastAsia="en-US"/>
        </w:rPr>
      </w:pPr>
      <w:r w:rsidRPr="00993CCE">
        <w:rPr>
          <w:rFonts w:ascii="Liberation Sans" w:eastAsiaTheme="minorEastAsia" w:hAnsi="Liberation Sans" w:cstheme="minorBidi"/>
          <w:color w:val="000000" w:themeColor="text1"/>
          <w:sz w:val="19"/>
          <w:szCs w:val="22"/>
          <w:lang w:eastAsia="en-US"/>
        </w:rPr>
        <w:t xml:space="preserve">At first, I thought an AI agent that could answer </w:t>
      </w:r>
      <w:proofErr w:type="gramStart"/>
      <w:r w:rsidRPr="00993CCE">
        <w:rPr>
          <w:rFonts w:ascii="Liberation Sans" w:eastAsiaTheme="minorEastAsia" w:hAnsi="Liberation Sans" w:cstheme="minorBidi"/>
          <w:color w:val="000000" w:themeColor="text1"/>
          <w:sz w:val="19"/>
          <w:szCs w:val="22"/>
          <w:lang w:eastAsia="en-US"/>
        </w:rPr>
        <w:t>questions</w:t>
      </w:r>
      <w:proofErr w:type="gramEnd"/>
      <w:r w:rsidRPr="00993CCE">
        <w:rPr>
          <w:rFonts w:ascii="Liberation Sans" w:eastAsiaTheme="minorEastAsia" w:hAnsi="Liberation Sans" w:cstheme="minorBidi"/>
          <w:color w:val="000000" w:themeColor="text1"/>
          <w:sz w:val="19"/>
          <w:szCs w:val="22"/>
          <w:lang w:eastAsia="en-US"/>
        </w:rPr>
        <w:t xml:space="preserve"> and complete tasks would naturally be a disruptive innovation. Working on this assignment helped me see that the impact depends on how an organization uses the technology and where its value comes from. The comparison between university admissions support and a service provider charging for routine counselor hours made this clearer. The same technology could improve one organization’s process while threatening another’s main source of revenue. I also learned that refusing to give a rating can be more useful than giving a confident answer without enough information. My main concern is that the agent might confuse technical capability with actual business impact. Next time, I would check the organization’s costs, workflow, and human review needs before accepting its recommendation.</w:t>
      </w:r>
    </w:p>
    <w:p w14:paraId="34E3D9D2" w14:textId="00712653" w:rsidR="008849F5" w:rsidRPr="00993CCE" w:rsidRDefault="008849F5" w:rsidP="00993CCE">
      <w:pPr>
        <w:rPr>
          <w:rFonts w:hint="eastAsia"/>
          <w:b/>
          <w:color w:val="000000" w:themeColor="text1"/>
          <w:lang w:eastAsia="zh-CN"/>
        </w:rPr>
      </w:pPr>
    </w:p>
    <w:p w14:paraId="73BB4059" w14:textId="77777777" w:rsidR="00993CCE" w:rsidRPr="00993CCE" w:rsidRDefault="00993CCE" w:rsidP="00993CCE">
      <w:pPr>
        <w:rPr>
          <w:color w:val="000000" w:themeColor="text1"/>
        </w:rPr>
      </w:pPr>
    </w:p>
    <w:p w14:paraId="34F32306" w14:textId="77777777" w:rsidR="00993CCE" w:rsidRPr="00993CCE" w:rsidRDefault="00993CCE" w:rsidP="00993CCE">
      <w:pPr>
        <w:rPr>
          <w:color w:val="000000" w:themeColor="text1"/>
        </w:rPr>
      </w:pPr>
    </w:p>
    <w:p w14:paraId="2B637FD1" w14:textId="77777777" w:rsidR="00993CCE" w:rsidRPr="00993CCE" w:rsidRDefault="00993CCE" w:rsidP="00993CCE">
      <w:pPr>
        <w:rPr>
          <w:color w:val="000000" w:themeColor="text1"/>
        </w:rPr>
      </w:pPr>
    </w:p>
    <w:p w14:paraId="4C602A92" w14:textId="77777777" w:rsidR="00993CCE" w:rsidRPr="00993CCE" w:rsidRDefault="00993CCE" w:rsidP="00993CCE">
      <w:pPr>
        <w:rPr>
          <w:color w:val="000000" w:themeColor="text1"/>
        </w:rPr>
      </w:pPr>
    </w:p>
    <w:p w14:paraId="68D46D76" w14:textId="77777777" w:rsidR="00993CCE" w:rsidRPr="00993CCE" w:rsidRDefault="00993CCE" w:rsidP="00993CCE">
      <w:pPr>
        <w:rPr>
          <w:color w:val="000000" w:themeColor="text1"/>
        </w:rPr>
      </w:pPr>
    </w:p>
    <w:p w14:paraId="7943AE47" w14:textId="77777777" w:rsidR="00993CCE" w:rsidRPr="00993CCE" w:rsidRDefault="00993CCE" w:rsidP="00993CCE">
      <w:pPr>
        <w:rPr>
          <w:color w:val="000000" w:themeColor="text1"/>
        </w:rPr>
      </w:pPr>
    </w:p>
    <w:p w14:paraId="72E5B0C8" w14:textId="77777777" w:rsidR="00993CCE" w:rsidRPr="00993CCE" w:rsidRDefault="00993CCE" w:rsidP="00993CCE">
      <w:pPr>
        <w:rPr>
          <w:color w:val="000000" w:themeColor="text1"/>
        </w:rPr>
      </w:pPr>
    </w:p>
    <w:p w14:paraId="6FC2210E" w14:textId="77777777" w:rsidR="00993CCE" w:rsidRPr="00993CCE" w:rsidRDefault="00993CCE" w:rsidP="00993CCE">
      <w:pPr>
        <w:rPr>
          <w:color w:val="000000" w:themeColor="text1"/>
        </w:rPr>
      </w:pPr>
    </w:p>
    <w:p w14:paraId="5AB48D6D" w14:textId="77777777" w:rsidR="00993CCE" w:rsidRPr="00993CCE" w:rsidRDefault="00993CCE" w:rsidP="00993CCE">
      <w:pPr>
        <w:rPr>
          <w:color w:val="000000" w:themeColor="text1"/>
        </w:rPr>
      </w:pPr>
    </w:p>
    <w:p w14:paraId="02D4E81C" w14:textId="77777777" w:rsidR="00993CCE" w:rsidRPr="00993CCE" w:rsidRDefault="00993CCE" w:rsidP="00993CCE">
      <w:pPr>
        <w:rPr>
          <w:color w:val="000000" w:themeColor="text1"/>
        </w:rPr>
      </w:pPr>
    </w:p>
    <w:p w14:paraId="73C45EF3" w14:textId="77777777" w:rsidR="00993CCE" w:rsidRPr="00993CCE" w:rsidRDefault="00993CCE" w:rsidP="00993CCE">
      <w:pPr>
        <w:rPr>
          <w:color w:val="000000" w:themeColor="text1"/>
        </w:rPr>
      </w:pPr>
    </w:p>
    <w:p w14:paraId="50126B12" w14:textId="77777777" w:rsidR="00993CCE" w:rsidRPr="00993CCE" w:rsidRDefault="00993CCE" w:rsidP="00993CCE">
      <w:pPr>
        <w:rPr>
          <w:color w:val="000000" w:themeColor="text1"/>
        </w:rPr>
      </w:pPr>
    </w:p>
    <w:p w14:paraId="0CB60620" w14:textId="77777777" w:rsidR="00993CCE" w:rsidRPr="00993CCE" w:rsidRDefault="00993CCE" w:rsidP="00993CCE">
      <w:pPr>
        <w:rPr>
          <w:color w:val="000000" w:themeColor="text1"/>
        </w:rPr>
      </w:pPr>
    </w:p>
    <w:p w14:paraId="63CEEB63" w14:textId="77777777" w:rsidR="00993CCE" w:rsidRPr="00993CCE" w:rsidRDefault="00993CCE" w:rsidP="00993CCE">
      <w:pPr>
        <w:rPr>
          <w:color w:val="000000" w:themeColor="text1"/>
        </w:rPr>
      </w:pPr>
    </w:p>
    <w:p w14:paraId="08ECE6B3" w14:textId="77777777" w:rsidR="00993CCE" w:rsidRPr="00993CCE" w:rsidRDefault="00993CCE" w:rsidP="00993CCE">
      <w:pPr>
        <w:jc w:val="center"/>
        <w:rPr>
          <w:rFonts w:hint="eastAsia"/>
          <w:color w:val="000000" w:themeColor="text1"/>
        </w:rPr>
      </w:pPr>
    </w:p>
    <w:p w14:paraId="2428172C" w14:textId="77777777" w:rsidR="008849F5" w:rsidRPr="00993CCE" w:rsidRDefault="00000000" w:rsidP="00993CCE">
      <w:pPr>
        <w:pStyle w:val="Heading1"/>
        <w:pageBreakBefore/>
        <w:rPr>
          <w:color w:val="000000" w:themeColor="text1"/>
        </w:rPr>
      </w:pPr>
      <w:r w:rsidRPr="00993CCE">
        <w:rPr>
          <w:color w:val="000000" w:themeColor="text1"/>
        </w:rPr>
        <w:lastRenderedPageBreak/>
        <w:t>Appendix A Business model reasoning</w:t>
      </w:r>
    </w:p>
    <w:p w14:paraId="310DAA35" w14:textId="77777777" w:rsidR="008849F5" w:rsidRPr="00993CCE" w:rsidRDefault="00000000" w:rsidP="00993CCE">
      <w:pPr>
        <w:pStyle w:val="Heading2"/>
        <w:rPr>
          <w:color w:val="000000" w:themeColor="text1"/>
        </w:rPr>
      </w:pPr>
      <w:r w:rsidRPr="00993CCE">
        <w:rPr>
          <w:color w:val="000000" w:themeColor="text1"/>
        </w:rPr>
        <w:t>Representative primary output</w:t>
      </w:r>
    </w:p>
    <w:p w14:paraId="74478812" w14:textId="77777777" w:rsidR="008849F5" w:rsidRPr="00993CCE" w:rsidRDefault="00000000" w:rsidP="00993CCE">
      <w:pPr>
        <w:rPr>
          <w:rFonts w:hint="eastAsia"/>
          <w:color w:val="000000" w:themeColor="text1"/>
        </w:rPr>
      </w:pPr>
      <w:r w:rsidRPr="00993CCE">
        <w:rPr>
          <w:color w:val="000000" w:themeColor="text1"/>
        </w:rPr>
        <w:t>Version 1.1 assesses the proposed NYU SPS support workflow as a candidate incremental innovation, with Moderate conditional business-model exposure over the 12-month decision horizon. The target is recruitment support. No claim of actual SPS deployment, measured savings, guaranteed enrollment growth or replacement of academic decision-making is made. The complete machine-readable output is preserved in responses/primary_response.json.</w:t>
      </w:r>
    </w:p>
    <w:p w14:paraId="773C0C0D" w14:textId="77777777" w:rsidR="008849F5" w:rsidRPr="00993CCE" w:rsidRDefault="00000000" w:rsidP="00993CCE">
      <w:pPr>
        <w:pStyle w:val="Heading2"/>
        <w:rPr>
          <w:color w:val="000000" w:themeColor="text1"/>
        </w:rPr>
      </w:pPr>
      <w:r w:rsidRPr="00993CCE">
        <w:rPr>
          <w:color w:val="000000" w:themeColor="text1"/>
        </w:rPr>
        <w:t>Creation and displacement</w:t>
      </w:r>
    </w:p>
    <w:p w14:paraId="55A7561E" w14:textId="77777777" w:rsidR="008849F5" w:rsidRPr="00993CCE" w:rsidRDefault="00000000" w:rsidP="00993CCE">
      <w:pPr>
        <w:rPr>
          <w:rFonts w:hint="eastAsia"/>
          <w:color w:val="000000" w:themeColor="text1"/>
        </w:rPr>
      </w:pPr>
      <w:r w:rsidRPr="00993CCE">
        <w:rPr>
          <w:color w:val="000000" w:themeColor="text1"/>
        </w:rPr>
        <w:t>If reliable, approved tool use could reduce repetitive information handling and create more useful staff capacity. Applicants may gain convenient support. Routine outsourced handling could lose value, while information curation, exception work and quality assurance become more valuable. Platforms could capture subscription or usage fees. Released staff time is not automatically a cash saving.</w:t>
      </w:r>
    </w:p>
    <w:p w14:paraId="0F9F9F6F" w14:textId="77777777" w:rsidR="008849F5" w:rsidRPr="00993CCE" w:rsidRDefault="00000000" w:rsidP="00993CCE">
      <w:pPr>
        <w:pStyle w:val="Heading2"/>
        <w:rPr>
          <w:color w:val="000000" w:themeColor="text1"/>
        </w:rPr>
      </w:pPr>
      <w:r w:rsidRPr="00993CCE">
        <w:rPr>
          <w:color w:val="000000" w:themeColor="text1"/>
        </w:rPr>
        <w:t>Why the contrast matters</w:t>
      </w:r>
    </w:p>
    <w:p w14:paraId="79B41354" w14:textId="77777777" w:rsidR="008849F5" w:rsidRPr="00993CCE" w:rsidRDefault="00000000" w:rsidP="00993CCE">
      <w:pPr>
        <w:rPr>
          <w:rFonts w:hint="eastAsia"/>
          <w:color w:val="000000" w:themeColor="text1"/>
        </w:rPr>
      </w:pPr>
      <w:r w:rsidRPr="00993CCE">
        <w:rPr>
          <w:color w:val="000000" w:themeColor="text1"/>
        </w:rPr>
        <w:t>The hypothetical provider sells routine counselor hours as its core offer. Direct software purchasing by universities could reduce those hours and bypass the provider. A managed quality/integration service could create a new offer, but its profitability is untested. The provider faces an incumbent dilemma: helping clients automate can cannibalize current revenue. High exposure is conditional on these assumptions and does not establish insolvency.</w:t>
      </w:r>
    </w:p>
    <w:p w14:paraId="0C566B97" w14:textId="77777777" w:rsidR="008849F5" w:rsidRPr="00993CCE" w:rsidRDefault="00000000" w:rsidP="00993CCE">
      <w:pPr>
        <w:pStyle w:val="Heading2"/>
        <w:rPr>
          <w:color w:val="000000" w:themeColor="text1"/>
        </w:rPr>
      </w:pPr>
      <w:r w:rsidRPr="00993CCE">
        <w:rPr>
          <w:color w:val="000000" w:themeColor="text1"/>
        </w:rPr>
        <w:t>Severity and time</w:t>
      </w:r>
    </w:p>
    <w:p w14:paraId="6A6A2CE3" w14:textId="77777777" w:rsidR="008849F5" w:rsidRPr="00993CCE" w:rsidRDefault="00000000" w:rsidP="00993CCE">
      <w:pPr>
        <w:rPr>
          <w:rFonts w:hint="eastAsia"/>
          <w:color w:val="000000" w:themeColor="text1"/>
        </w:rPr>
      </w:pPr>
      <w:r w:rsidRPr="00993CCE">
        <w:rPr>
          <w:color w:val="000000" w:themeColor="text1"/>
        </w:rPr>
        <w:t>Using the course matrix [C2, slide 24], Moderate / near-term is a provisional SPS investigation scenario. High / medium-term is an adaptation-planning scenario for the provider. Actual timing is unknown. Here, near-term means 0-12 months and medium-term 1-3 years; these are assignment planning bins, not lecturer-specified cutoffs or market forecasts. The matrix supports an investigation or preparation question, not automatic deployment.</w:t>
      </w:r>
    </w:p>
    <w:p w14:paraId="0648E0AD" w14:textId="77777777" w:rsidR="008849F5" w:rsidRPr="00993CCE" w:rsidRDefault="00000000" w:rsidP="00993CCE">
      <w:pPr>
        <w:pStyle w:val="Heading2"/>
        <w:rPr>
          <w:color w:val="000000" w:themeColor="text1"/>
        </w:rPr>
      </w:pPr>
      <w:r w:rsidRPr="00993CCE">
        <w:rPr>
          <w:color w:val="000000" w:themeColor="text1"/>
        </w:rPr>
        <w:t>Strongest rival and the evidence needed</w:t>
      </w:r>
    </w:p>
    <w:p w14:paraId="34E00904" w14:textId="77777777" w:rsidR="008849F5" w:rsidRPr="00993CCE" w:rsidRDefault="00000000" w:rsidP="00993CCE">
      <w:pPr>
        <w:rPr>
          <w:rFonts w:hint="eastAsia"/>
          <w:color w:val="000000" w:themeColor="text1"/>
        </w:rPr>
      </w:pPr>
      <w:r w:rsidRPr="00993CCE">
        <w:rPr>
          <w:color w:val="000000" w:themeColor="text1"/>
        </w:rPr>
        <w:t>Simple retrieval may deliver the same support value with less cost. Clients may retain the provider for accountability and complex relationships. Compare staff-only, retrieval and the proposed agent on matched approved tasks: correct completion, consequential errors, escalations, staff effort and total cost per correctly completed task. Include integration, platform, monitoring, review and correction costs. These comparisons are proposed future work, not results already measured.</w:t>
      </w:r>
    </w:p>
    <w:p w14:paraId="11C6B2D3" w14:textId="77777777" w:rsidR="008849F5" w:rsidRPr="00993CCE" w:rsidRDefault="00000000" w:rsidP="00993CCE">
      <w:pPr>
        <w:pStyle w:val="Heading2"/>
        <w:rPr>
          <w:color w:val="000000" w:themeColor="text1"/>
        </w:rPr>
      </w:pPr>
      <w:r w:rsidRPr="00993CCE">
        <w:rPr>
          <w:color w:val="000000" w:themeColor="text1"/>
        </w:rPr>
        <w:t>Management triggers and boundaries</w:t>
      </w:r>
    </w:p>
    <w:p w14:paraId="0EC7105D" w14:textId="77777777" w:rsidR="008849F5" w:rsidRPr="00993CCE" w:rsidRDefault="00000000" w:rsidP="00993CCE">
      <w:pPr>
        <w:rPr>
          <w:rFonts w:hint="eastAsia"/>
          <w:color w:val="000000" w:themeColor="text1"/>
        </w:rPr>
      </w:pPr>
      <w:r w:rsidRPr="00993CCE">
        <w:rPr>
          <w:color w:val="000000" w:themeColor="text1"/>
        </w:rPr>
        <w:t>Admissions operations and finance should reassess if total cost and useful capability fail to improve on the simpler alternative. A quality lead should block expansion after consequential wrong guidance or unauthorized actions. Strategy should check material competitor or channel changes quarterly. Adoption owns the final decision; Readiness owns capacity and permissions; Diffusion owns uptake; Landscape owns alternatives; Promethean owns broader significance.</w:t>
      </w:r>
    </w:p>
    <w:p w14:paraId="05CB6CBF" w14:textId="77777777" w:rsidR="008849F5" w:rsidRPr="00993CCE" w:rsidRDefault="00000000" w:rsidP="00993CCE">
      <w:pPr>
        <w:pStyle w:val="Heading1"/>
        <w:pageBreakBefore/>
        <w:rPr>
          <w:color w:val="000000" w:themeColor="text1"/>
        </w:rPr>
      </w:pPr>
      <w:r w:rsidRPr="00993CCE">
        <w:rPr>
          <w:color w:val="000000" w:themeColor="text1"/>
        </w:rPr>
        <w:lastRenderedPageBreak/>
        <w:t>Appendix B Sources and evidence boundaries</w:t>
      </w:r>
    </w:p>
    <w:p w14:paraId="68178E43" w14:textId="77777777" w:rsidR="008849F5" w:rsidRPr="00993CCE" w:rsidRDefault="00000000" w:rsidP="00993CCE">
      <w:pPr>
        <w:rPr>
          <w:rFonts w:hint="eastAsia"/>
          <w:color w:val="000000" w:themeColor="text1"/>
        </w:rPr>
      </w:pPr>
      <w:r w:rsidRPr="00993CCE">
        <w:rPr>
          <w:color w:val="000000" w:themeColor="text1"/>
        </w:rPr>
        <w:t>All public sources below were opened and inspected on October 11, 2026. Sources support specific claims; they do not establish actual NYU internal performance. Publication dates and retrieval dates are distinguished.</w:t>
      </w:r>
    </w:p>
    <w:p w14:paraId="6AB986FD" w14:textId="77777777" w:rsidR="008849F5" w:rsidRPr="00993CCE" w:rsidRDefault="00000000" w:rsidP="00993CCE">
      <w:pPr>
        <w:rPr>
          <w:rFonts w:hint="eastAsia"/>
          <w:color w:val="000000" w:themeColor="text1"/>
        </w:rPr>
      </w:pPr>
      <w:r w:rsidRPr="00993CCE">
        <w:rPr>
          <w:b/>
          <w:color w:val="000000" w:themeColor="text1"/>
        </w:rPr>
        <w:t>[S1] OECD/Eurostat. Oslo Manual 2018, Chapter 3. 2018-10-22.</w:t>
      </w:r>
    </w:p>
    <w:p w14:paraId="6A7C9244" w14:textId="77777777" w:rsidR="008849F5" w:rsidRPr="00993CCE" w:rsidRDefault="00000000" w:rsidP="00993CCE">
      <w:pPr>
        <w:rPr>
          <w:rFonts w:hint="eastAsia"/>
          <w:color w:val="000000" w:themeColor="text1"/>
        </w:rPr>
      </w:pPr>
      <w:r w:rsidRPr="00993CCE">
        <w:rPr>
          <w:color w:val="000000" w:themeColor="text1"/>
        </w:rPr>
        <w:t>https://www.oecd.org/en/publications/oslo-manual-2018_9789264304604-en/full-report/component-9.html</w:t>
      </w:r>
    </w:p>
    <w:p w14:paraId="48042C4B" w14:textId="77777777" w:rsidR="008849F5" w:rsidRPr="00993CCE" w:rsidRDefault="00000000" w:rsidP="00993CCE">
      <w:pPr>
        <w:rPr>
          <w:rFonts w:hint="eastAsia"/>
          <w:color w:val="000000" w:themeColor="text1"/>
        </w:rPr>
      </w:pPr>
      <w:r w:rsidRPr="00993CCE">
        <w:rPr>
          <w:color w:val="000000" w:themeColor="text1"/>
        </w:rPr>
        <w:t>Use: Innovation requires meaningful difference and implementation; organizational novelty need not be world novelty. Limit: A specific SPS deployment or a universal breakthrough threshold.</w:t>
      </w:r>
    </w:p>
    <w:p w14:paraId="6324212B" w14:textId="77777777" w:rsidR="008849F5" w:rsidRPr="00993CCE" w:rsidRDefault="00000000" w:rsidP="00993CCE">
      <w:pPr>
        <w:rPr>
          <w:rFonts w:hint="eastAsia"/>
          <w:color w:val="000000" w:themeColor="text1"/>
        </w:rPr>
      </w:pPr>
      <w:r w:rsidRPr="00993CCE">
        <w:rPr>
          <w:b/>
          <w:color w:val="000000" w:themeColor="text1"/>
        </w:rPr>
        <w:t>[S2] Anthropic. Building effective agents. 2024-12-19; living page accessed 2026-10-11.</w:t>
      </w:r>
    </w:p>
    <w:p w14:paraId="7C196C59" w14:textId="77777777" w:rsidR="008849F5" w:rsidRPr="00993CCE" w:rsidRDefault="00000000" w:rsidP="00993CCE">
      <w:pPr>
        <w:rPr>
          <w:rFonts w:hint="eastAsia"/>
          <w:color w:val="000000" w:themeColor="text1"/>
        </w:rPr>
      </w:pPr>
      <w:r w:rsidRPr="00993CCE">
        <w:rPr>
          <w:color w:val="000000" w:themeColor="text1"/>
        </w:rPr>
        <w:t>https://www.anthropic.com/engineering/building-effective-agents</w:t>
      </w:r>
    </w:p>
    <w:p w14:paraId="765E8A97" w14:textId="77777777" w:rsidR="008849F5" w:rsidRPr="00993CCE" w:rsidRDefault="00000000" w:rsidP="00993CCE">
      <w:pPr>
        <w:rPr>
          <w:rFonts w:hint="eastAsia"/>
          <w:color w:val="000000" w:themeColor="text1"/>
        </w:rPr>
      </w:pPr>
      <w:r w:rsidRPr="00993CCE">
        <w:rPr>
          <w:color w:val="000000" w:themeColor="text1"/>
        </w:rPr>
        <w:t>Use: Separates model-directed tool use from fixed workflows; discusses complexity and compounding errors. Limit: Independent proof of superiority, reliability or savings at SPS; current tooling completeness.</w:t>
      </w:r>
    </w:p>
    <w:p w14:paraId="23F7B13A" w14:textId="77777777" w:rsidR="008849F5" w:rsidRPr="00993CCE" w:rsidRDefault="00000000" w:rsidP="00993CCE">
      <w:pPr>
        <w:rPr>
          <w:rFonts w:hint="eastAsia"/>
          <w:color w:val="000000" w:themeColor="text1"/>
        </w:rPr>
      </w:pPr>
      <w:r w:rsidRPr="00993CCE">
        <w:rPr>
          <w:b/>
          <w:color w:val="000000" w:themeColor="text1"/>
        </w:rPr>
        <w:t>[S3] Salesforce. Salesforce’s Agentforce Is Here. 2024-10-29.</w:t>
      </w:r>
    </w:p>
    <w:p w14:paraId="7056C6F9" w14:textId="77777777" w:rsidR="008849F5" w:rsidRPr="00993CCE" w:rsidRDefault="00000000" w:rsidP="00993CCE">
      <w:pPr>
        <w:rPr>
          <w:rFonts w:hint="eastAsia"/>
          <w:color w:val="000000" w:themeColor="text1"/>
        </w:rPr>
      </w:pPr>
      <w:r w:rsidRPr="00993CCE">
        <w:rPr>
          <w:color w:val="000000" w:themeColor="text1"/>
        </w:rPr>
        <w:t>https://www.salesforce.com/news/press-releases/2024/10/29/agentforce-general-availability-announcement/</w:t>
      </w:r>
    </w:p>
    <w:p w14:paraId="4C1C348B" w14:textId="77777777" w:rsidR="008849F5" w:rsidRPr="00993CCE" w:rsidRDefault="00000000" w:rsidP="00993CCE">
      <w:pPr>
        <w:rPr>
          <w:rFonts w:hint="eastAsia"/>
          <w:color w:val="000000" w:themeColor="text1"/>
        </w:rPr>
      </w:pPr>
      <w:r w:rsidRPr="00993CCE">
        <w:rPr>
          <w:color w:val="000000" w:themeColor="text1"/>
        </w:rPr>
        <w:t>Use: Commercial availability of an enterprise agent offering was announced in 2024. Limit: Verified customer ROI, broad adoption, current price, or SPS procurement.</w:t>
      </w:r>
    </w:p>
    <w:p w14:paraId="71189C86" w14:textId="77777777" w:rsidR="008849F5" w:rsidRPr="00993CCE" w:rsidRDefault="00000000" w:rsidP="00993CCE">
      <w:pPr>
        <w:rPr>
          <w:rFonts w:hint="eastAsia"/>
          <w:color w:val="000000" w:themeColor="text1"/>
        </w:rPr>
      </w:pPr>
      <w:r w:rsidRPr="00993CCE">
        <w:rPr>
          <w:b/>
          <w:color w:val="000000" w:themeColor="text1"/>
        </w:rPr>
        <w:t>[S4] NYU School of Professional Studies. Graduate Admissions. Undated live page; accessed 2026-10-11.</w:t>
      </w:r>
    </w:p>
    <w:p w14:paraId="5839AD53" w14:textId="77777777" w:rsidR="008849F5" w:rsidRPr="00993CCE" w:rsidRDefault="00000000" w:rsidP="00993CCE">
      <w:pPr>
        <w:rPr>
          <w:rFonts w:hint="eastAsia"/>
          <w:color w:val="000000" w:themeColor="text1"/>
        </w:rPr>
      </w:pPr>
      <w:r w:rsidRPr="00993CCE">
        <w:rPr>
          <w:color w:val="000000" w:themeColor="text1"/>
        </w:rPr>
        <w:t>https://www.sps.nyu.edu/join/graduate-admissions.html</w:t>
      </w:r>
    </w:p>
    <w:p w14:paraId="37BB3187" w14:textId="77777777" w:rsidR="008849F5" w:rsidRPr="00993CCE" w:rsidRDefault="00000000" w:rsidP="00993CCE">
      <w:pPr>
        <w:rPr>
          <w:rFonts w:hint="eastAsia"/>
          <w:color w:val="000000" w:themeColor="text1"/>
        </w:rPr>
      </w:pPr>
      <w:r w:rsidRPr="00993CCE">
        <w:rPr>
          <w:color w:val="000000" w:themeColor="text1"/>
        </w:rPr>
        <w:t>Use: Public admissions information and staff appointment channels exist. Limit: Internal CRM, response delays, staff costs, AI deployment, lost applicants, or adoption posture.</w:t>
      </w:r>
    </w:p>
    <w:p w14:paraId="2367E2DC" w14:textId="77777777" w:rsidR="008849F5" w:rsidRPr="00993CCE" w:rsidRDefault="00000000" w:rsidP="00993CCE">
      <w:pPr>
        <w:rPr>
          <w:rFonts w:hint="eastAsia"/>
          <w:color w:val="000000" w:themeColor="text1"/>
        </w:rPr>
      </w:pPr>
      <w:r w:rsidRPr="00993CCE">
        <w:rPr>
          <w:b/>
          <w:color w:val="000000" w:themeColor="text1"/>
        </w:rPr>
        <w:t>[S5] Lindsay C. Page and Hunter Gehlbach. How an Artificially Intelligent Virtual Assistant Helps Students Navigate the Road to College. 2017.</w:t>
      </w:r>
    </w:p>
    <w:p w14:paraId="6376CB17" w14:textId="77777777" w:rsidR="008849F5" w:rsidRPr="00993CCE" w:rsidRDefault="00000000" w:rsidP="00993CCE">
      <w:pPr>
        <w:rPr>
          <w:rFonts w:hint="eastAsia"/>
          <w:color w:val="000000" w:themeColor="text1"/>
        </w:rPr>
      </w:pPr>
      <w:r w:rsidRPr="00993CCE">
        <w:rPr>
          <w:color w:val="000000" w:themeColor="text1"/>
        </w:rPr>
        <w:t>https://journals.sagepub.com/doi/pdf/10.1177/2332858417749220</w:t>
      </w:r>
    </w:p>
    <w:p w14:paraId="5F5A21E5" w14:textId="77777777" w:rsidR="008849F5" w:rsidRPr="00993CCE" w:rsidRDefault="00000000" w:rsidP="00993CCE">
      <w:pPr>
        <w:rPr>
          <w:rFonts w:hint="eastAsia"/>
          <w:color w:val="000000" w:themeColor="text1"/>
        </w:rPr>
      </w:pPr>
      <w:r w:rsidRPr="00993CCE">
        <w:rPr>
          <w:color w:val="000000" w:themeColor="text1"/>
        </w:rPr>
        <w:t>Use: A pre-LLM conversational assistant was tested for pre-enrollment support at Georgia State. Limit: Agentic-LLM superiority, NYU graduate applicant results, or transfer of effect sizes.</w:t>
      </w:r>
    </w:p>
    <w:p w14:paraId="1FD347A7" w14:textId="77777777" w:rsidR="008849F5" w:rsidRPr="00993CCE" w:rsidRDefault="00000000" w:rsidP="00993CCE">
      <w:pPr>
        <w:rPr>
          <w:rFonts w:hint="eastAsia"/>
          <w:color w:val="000000" w:themeColor="text1"/>
        </w:rPr>
      </w:pPr>
      <w:r w:rsidRPr="00993CCE">
        <w:rPr>
          <w:b/>
          <w:color w:val="000000" w:themeColor="text1"/>
        </w:rPr>
        <w:t>[S6] NIST. Artificial Intelligence Risk Management Framework Generative Artificial Intelligence Profile. 2024-07-26.</w:t>
      </w:r>
    </w:p>
    <w:p w14:paraId="07709602" w14:textId="77777777" w:rsidR="008849F5" w:rsidRPr="00993CCE" w:rsidRDefault="00000000" w:rsidP="00993CCE">
      <w:pPr>
        <w:rPr>
          <w:rFonts w:hint="eastAsia"/>
          <w:color w:val="000000" w:themeColor="text1"/>
        </w:rPr>
      </w:pPr>
      <w:r w:rsidRPr="00993CCE">
        <w:rPr>
          <w:color w:val="000000" w:themeColor="text1"/>
        </w:rPr>
        <w:t>https://doi.org/10.6028/NIST.AI.600-1</w:t>
      </w:r>
    </w:p>
    <w:p w14:paraId="05377105" w14:textId="77777777" w:rsidR="008849F5" w:rsidRPr="00993CCE" w:rsidRDefault="00000000" w:rsidP="00993CCE">
      <w:pPr>
        <w:rPr>
          <w:rFonts w:hint="eastAsia"/>
          <w:color w:val="000000" w:themeColor="text1"/>
        </w:rPr>
      </w:pPr>
      <w:r w:rsidRPr="00993CCE">
        <w:rPr>
          <w:color w:val="000000" w:themeColor="text1"/>
        </w:rPr>
        <w:t>Use: Generated misinformation and human oversight require explicit controls. Limit: Legal clearance, a guaranteed safe deployment, or quantified business disruption.</w:t>
      </w:r>
    </w:p>
    <w:p w14:paraId="3AF77953" w14:textId="77777777" w:rsidR="008849F5" w:rsidRPr="00993CCE" w:rsidRDefault="00000000" w:rsidP="00993CCE">
      <w:pPr>
        <w:pStyle w:val="Heading2"/>
        <w:rPr>
          <w:color w:val="000000" w:themeColor="text1"/>
        </w:rPr>
      </w:pPr>
      <w:r w:rsidRPr="00993CCE">
        <w:rPr>
          <w:color w:val="000000" w:themeColor="text1"/>
        </w:rPr>
        <w:t>Course materials</w:t>
      </w:r>
    </w:p>
    <w:p w14:paraId="42F63AF2" w14:textId="77777777" w:rsidR="008849F5" w:rsidRPr="00993CCE" w:rsidRDefault="00000000" w:rsidP="00993CCE">
      <w:pPr>
        <w:rPr>
          <w:rFonts w:hint="eastAsia"/>
          <w:color w:val="000000" w:themeColor="text1"/>
        </w:rPr>
      </w:pPr>
      <w:r w:rsidRPr="00993CCE">
        <w:rPr>
          <w:color w:val="000000" w:themeColor="text1"/>
        </w:rPr>
        <w:t>[C1] Andres Fortino. ET Invention Innovation Entrepreurship FA26, slides 8 and 10-14. Definitions and developmental roles. [C2] ET Creative Destruction FA26, slides 9, 15, 19-24 and 34-35. Creative destruction, incumbent incentives, severity/time and local novelty. [C3] ET Promethean Teachnologies FA26, slides 11 and 17-18. Boundary with the Promethean specialist. [C4] ET Creative Destruction FA26, slides 3 and 32. Embedded schedule confirming the assignment-title interpretation.</w:t>
      </w:r>
    </w:p>
    <w:p w14:paraId="7B402EED" w14:textId="77777777" w:rsidR="008849F5" w:rsidRPr="00993CCE" w:rsidRDefault="00000000" w:rsidP="00993CCE">
      <w:pPr>
        <w:rPr>
          <w:rFonts w:hint="eastAsia"/>
          <w:color w:val="000000" w:themeColor="text1"/>
        </w:rPr>
      </w:pPr>
      <w:r w:rsidRPr="00993CCE">
        <w:rPr>
          <w:color w:val="000000" w:themeColor="text1"/>
        </w:rPr>
        <w:t>Scope authority: the attached revised Assignment 3 memo and current Brightspace rubric. Older decks contain different assignment numbering. Full textbook chapters were not supplied and are not claimed as read. The synthetic contrast, internal SPS assumptions and timing scenarios are clearly separated from verified facts.</w:t>
      </w:r>
    </w:p>
    <w:sectPr w:rsidR="008849F5" w:rsidRPr="00993CCE"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14B97" w14:textId="77777777" w:rsidR="000E1D32" w:rsidRDefault="000E1D32">
      <w:pPr>
        <w:spacing w:after="0" w:line="240" w:lineRule="auto"/>
        <w:rPr>
          <w:rFonts w:hint="eastAsia"/>
        </w:rPr>
      </w:pPr>
      <w:r>
        <w:separator/>
      </w:r>
    </w:p>
  </w:endnote>
  <w:endnote w:type="continuationSeparator" w:id="0">
    <w:p w14:paraId="5E3C33AF" w14:textId="77777777" w:rsidR="000E1D32" w:rsidRDefault="000E1D3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0D8F" w14:textId="522F6ED7" w:rsidR="00630F3A" w:rsidRDefault="00630F3A">
    <w:pPr>
      <w:pStyle w:val="Footer"/>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2C9F4" w14:textId="77777777" w:rsidR="000E1D32" w:rsidRDefault="000E1D32">
      <w:pPr>
        <w:spacing w:after="0" w:line="240" w:lineRule="auto"/>
        <w:rPr>
          <w:rFonts w:hint="eastAsia"/>
        </w:rPr>
      </w:pPr>
      <w:r>
        <w:separator/>
      </w:r>
    </w:p>
  </w:footnote>
  <w:footnote w:type="continuationSeparator" w:id="0">
    <w:p w14:paraId="7A02E110" w14:textId="77777777" w:rsidR="000E1D32" w:rsidRDefault="000E1D3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776EF" w14:textId="7D47852A" w:rsidR="00630F3A" w:rsidRDefault="00630F3A">
    <w:pPr>
      <w:pStyle w:val="Header"/>
      <w:jc w:val="right"/>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1D32"/>
    <w:rsid w:val="0015074B"/>
    <w:rsid w:val="00214B14"/>
    <w:rsid w:val="0029639D"/>
    <w:rsid w:val="00326F90"/>
    <w:rsid w:val="00630F3A"/>
    <w:rsid w:val="006E721C"/>
    <w:rsid w:val="008849F5"/>
    <w:rsid w:val="008A58D9"/>
    <w:rsid w:val="00993CCE"/>
    <w:rsid w:val="00AA1D8D"/>
    <w:rsid w:val="00B47730"/>
    <w:rsid w:val="00BC1308"/>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48749"/>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993CCE"/>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2265</Words>
  <Characters>12915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柳明瀚</cp:lastModifiedBy>
  <cp:revision>4</cp:revision>
  <dcterms:created xsi:type="dcterms:W3CDTF">2026-08-13T19:48:00Z</dcterms:created>
  <dcterms:modified xsi:type="dcterms:W3CDTF">2026-10-12T00:05:00Z</dcterms:modified>
  <cp:category/>
</cp:coreProperties>
</file>