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Emerging Technology Diffusion Agent</w:t>
      </w:r>
    </w:p>
    <w:p>
      <w:pPr>
        <w:jc w:val="center"/>
      </w:pPr>
      <w:r>
        <w:t>Assignment 5 (Lab 5 - SubAgent 4 Diffusion) | Minghan Liu | October 25, 2026</w:t>
      </w:r>
    </w:p>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57068C" w:val="clear"/>
            <w:tcMar>
              <w:top w:w="70" w:type="dxa"/>
              <w:start w:w="90" w:type="dxa"/>
              <w:bottom w:w="70" w:type="dxa"/>
              <w:end w:w="90" w:type="dxa"/>
            </w:tcMar>
            <w:vAlign w:val="top"/>
          </w:tcPr>
          <w:p>
            <w:pPr>
              <w:spacing w:after="20"/>
            </w:pPr>
            <w:r>
              <w:rPr>
                <w:b/>
                <w:color w:val="FFFFFF"/>
                <w:sz w:val="17"/>
              </w:rPr>
              <w:t>Field</w:t>
            </w:r>
          </w:p>
        </w:tc>
        <w:tc>
          <w:tcPr>
            <w:tcW w:type="dxa" w:w="5227"/>
            <w:shd w:fill="57068C" w:val="clear"/>
            <w:tcMar>
              <w:top w:w="70" w:type="dxa"/>
              <w:start w:w="90" w:type="dxa"/>
              <w:bottom w:w="70" w:type="dxa"/>
              <w:end w:w="90" w:type="dxa"/>
            </w:tcMar>
            <w:vAlign w:val="top"/>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pPr>
              <w:spacing w:after="20"/>
            </w:pPr>
            <w:r>
              <w:rPr>
                <w:b w:val="0"/>
                <w:sz w:val="17"/>
              </w:rPr>
              <w:t>Minghan Liu / individual submission</w:t>
            </w:r>
          </w:p>
        </w:tc>
      </w:tr>
      <w:t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pPr>
              <w:spacing w:after="20"/>
            </w:pPr>
            <w:r>
              <w:rPr>
                <w:b w:val="0"/>
                <w:sz w:val="17"/>
              </w:rPr>
              <w:t>Assignment 5 / Emerging Technology Diffusion Agent v1.1</w:t>
            </w:r>
          </w:p>
        </w:tc>
      </w:tr>
      <w:t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pPr>
              <w:spacing w:after="20"/>
            </w:pPr>
            <w:r>
              <w:rPr>
                <w:b w:val="0"/>
                <w:sz w:val="17"/>
              </w:rPr>
              <w:t>October 25, 2026</w:t>
            </w:r>
          </w:p>
        </w:tc>
      </w:tr>
      <w:t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pPr>
              <w:spacing w:after="20"/>
            </w:pPr>
            <w:r>
              <w:rPr>
                <w:b w:val="0"/>
                <w:sz w:val="17"/>
              </w:rPr>
              <w:t>https://github.com/lmh04250425/MASY1800-agents</w:t>
            </w:r>
          </w:p>
        </w:tc>
      </w:tr>
      <w:t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pPr>
              <w:spacing w:after="20"/>
            </w:pPr>
            <w:r>
              <w:rPr>
                <w:b w:val="0"/>
                <w:sz w:val="17"/>
              </w:rPr>
              <w:t>assignment-5-diffusion</w:t>
            </w:r>
          </w:p>
        </w:tc>
      </w:tr>
      <w:t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pPr>
              <w:spacing w:after="40"/>
            </w:pPr>
            <w:r>
              <w:rPr>
                <w:b w:val="0"/>
                <w:sz w:val="17"/>
              </w:rPr>
              <w:t>Implementation, tests and records: ff47fa36cf4dd7e0664d78bbef749cce968cdc68</w:t>
            </w:r>
          </w:p>
          <w:p>
            <w:pPr>
              <w:spacing w:after="20"/>
            </w:pPr>
            <w:r>
              <w:rPr>
                <w:b w:val="0"/>
                <w:sz w:val="17"/>
              </w:rPr>
              <w:t>History: v1.0 3a0ffff; cycle 1 250affd; v1.1 and retest 47d668d; source corrections 74859cb, ff47fa3.</w:t>
            </w:r>
          </w:p>
        </w:tc>
      </w:tr>
      <w:t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b w:val="0"/>
                <w:sz w:val="17"/>
              </w:rPr>
              <w:t>MASY1800_ET_Agent_Scaffold_v1_0; frozen core verified intact and byte-identical to the Brightspace ZIP</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57068C" w:val="clear"/>
            <w:tcMar>
              <w:top w:w="70" w:type="dxa"/>
              <w:start w:w="90" w:type="dxa"/>
              <w:bottom w:w="70" w:type="dxa"/>
              <w:end w:w="90" w:type="dxa"/>
            </w:tcMar>
            <w:vAlign w:val="top"/>
          </w:tcPr>
          <w:p>
            <w:pPr>
              <w:spacing w:after="20"/>
            </w:pPr>
            <w:r>
              <w:rPr>
                <w:b/>
                <w:color w:val="FFFFFF"/>
                <w:sz w:val="17"/>
              </w:rPr>
              <w:t>Field</w:t>
            </w:r>
          </w:p>
        </w:tc>
        <w:tc>
          <w:tcPr>
            <w:tcW w:type="dxa" w:w="5227"/>
            <w:shd w:fill="57068C" w:val="clear"/>
            <w:tcMar>
              <w:top w:w="70" w:type="dxa"/>
              <w:start w:w="90" w:type="dxa"/>
              <w:bottom w:w="70" w:type="dxa"/>
              <w:end w:w="90" w:type="dxa"/>
            </w:tcMar>
            <w:vAlign w:val="top"/>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pPr>
              <w:spacing w:after="20"/>
            </w:pPr>
            <w:r>
              <w:rPr>
                <w:b w:val="0"/>
                <w:sz w:val="17"/>
              </w:rPr>
              <w:t>How far has this technology and application diffused, what is accelerating or inhibiting diffusion, and what does that stage imply for this organization's timing (without making the adoption decision)?</w:t>
            </w:r>
          </w:p>
        </w:tc>
      </w:tr>
      <w:t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pPr>
              <w:spacing w:after="20"/>
            </w:pPr>
            <w:r>
              <w:rPr>
                <w:b w:val="0"/>
                <w:sz w:val="17"/>
              </w:rPr>
              <w:t>Agentic AI: LLM-based agents that plan, use tools and complete multi-step tasks (same technology as Assignments 2-4).</w:t>
            </w:r>
          </w:p>
        </w:tc>
      </w:tr>
      <w:t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pPr>
              <w:spacing w:after="40"/>
            </w:pPr>
            <w:r>
              <w:rPr>
                <w:b w:val="0"/>
                <w:sz w:val="17"/>
              </w:rPr>
              <w:t>Proposed NYU SPS applicant-support workflow: approved information, clarifying questions, next steps and permission-limited appointment requests, with staff approval.</w:t>
            </w:r>
          </w:p>
          <w:p>
            <w:pPr>
              <w:spacing w:after="20"/>
            </w:pPr>
            <w:r>
              <w:rPr>
                <w:b w:val="0"/>
                <w:sz w:val="17"/>
              </w:rPr>
              <w:t>Contrasts keep the same technology and application and change the adoption posture: an aggressive online provider and a conservative small private college (both synthetic). An evidence-quality probe adds five weak planning claims to the SPS case.</w:t>
            </w:r>
          </w:p>
        </w:tc>
      </w:tr>
      <w:t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pPr>
              <w:spacing w:after="20"/>
            </w:pPr>
            <w:r>
              <w:rPr>
                <w:b w:val="0"/>
                <w:sz w:val="17"/>
              </w:rPr>
              <w:t>NYU School of Professional Studies / graduate and professional-education recruitment. Peer group: professional and continuing-education schools. SPS already offers a chatbot, Violet [D18].</w:t>
            </w:r>
          </w:p>
        </w:tc>
      </w:tr>
      <w:t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pPr>
              <w:spacing w:after="20"/>
            </w:pPr>
            <w:r>
              <w:rPr>
                <w:b w:val="0"/>
                <w:sz w:val="17"/>
              </w:rPr>
              <w:t>Moderate / fast follower (a course-case assumption, not NYU policy). Contrasts: early adopter; conservative.</w:t>
            </w:r>
          </w:p>
        </w:tc>
      </w:tr>
      <w:t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pPr>
              <w:spacing w:after="20"/>
            </w:pPr>
            <w:r>
              <w:rPr>
                <w:b w:val="0"/>
                <w:sz w:val="17"/>
              </w:rPr>
              <w:t>Wrong deadlines or promises, unauthorized actions and privacy. No applicant data used.</w:t>
            </w:r>
          </w:p>
        </w:tc>
      </w:tr>
      <w:t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pPr>
              <w:spacing w:after="20"/>
            </w:pPr>
            <w:r>
              <w:rPr>
                <w:b w:val="0"/>
                <w:sz w:val="17"/>
              </w:rPr>
              <w:t>What timing does the diffusion stage imply for SPS's next step? Horizon: 12 months / one admissions cycle.</w:t>
            </w:r>
          </w:p>
        </w:tc>
      </w:tr>
    </w:tbl>
    <w:p>
      <w:pPr>
        <w:pStyle w:val="Heading1"/>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57068C" w:val="clear"/>
            <w:tcMar>
              <w:top w:w="70" w:type="dxa"/>
              <w:start w:w="90" w:type="dxa"/>
              <w:bottom w:w="70" w:type="dxa"/>
              <w:end w:w="90" w:type="dxa"/>
            </w:tcMar>
            <w:vAlign w:val="top"/>
          </w:tcPr>
          <w:p>
            <w:pPr>
              <w:spacing w:after="20"/>
            </w:pPr>
            <w:r>
              <w:rPr>
                <w:b/>
                <w:color w:val="FFFFFF"/>
                <w:sz w:val="17"/>
              </w:rPr>
              <w:t>Field</w:t>
            </w:r>
          </w:p>
        </w:tc>
        <w:tc>
          <w:tcPr>
            <w:tcW w:type="dxa" w:w="5227"/>
            <w:shd w:fill="57068C" w:val="clear"/>
            <w:tcMar>
              <w:top w:w="70" w:type="dxa"/>
              <w:start w:w="90" w:type="dxa"/>
              <w:bottom w:w="70" w:type="dxa"/>
              <w:end w:w="90" w:type="dxa"/>
            </w:tcMar>
            <w:vAlign w:val="top"/>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pPr>
              <w:spacing w:after="40"/>
            </w:pPr>
            <w:r>
              <w:rPr>
                <w:b/>
                <w:sz w:val="17"/>
              </w:rPr>
              <w:t>Placed separately by population (the denominator rule):</w:t>
            </w:r>
          </w:p>
          <w:p>
            <w:pPr>
              <w:spacing w:after="40"/>
            </w:pPr>
            <w:r>
              <w:rPr>
                <w:b w:val="0"/>
                <w:sz w:val="17"/>
              </w:rPr>
              <w:t>L1 generative AI among U.S. adults: past take-off (34% ever used ChatGPT [D1]; about 40% use generative AI [D2]).</w:t>
            </w:r>
          </w:p>
          <w:p>
            <w:pPr>
              <w:spacing w:after="40"/>
            </w:pPr>
            <w:r>
              <w:rPr>
                <w:b w:val="0"/>
                <w:sz w:val="17"/>
              </w:rPr>
              <w:t>L2a any AI among U.S. firms: at the line (19.8%, May 2026 [D4]).</w:t>
            </w:r>
          </w:p>
          <w:p>
            <w:pPr>
              <w:spacing w:after="20"/>
            </w:pPr>
            <w:r>
              <w:rPr>
                <w:b/>
                <w:sz w:val="17"/>
              </w:rPr>
              <w:t>L2b agentic AI in organizations: early adopters, before the chasm</w:t>
            </w:r>
            <w:r>
              <w:rPr>
                <w:b w:val="0"/>
                <w:sz w:val="17"/>
              </w:rPr>
              <w:t xml:space="preserve"> (no representative measure; 23% of executive-survey respondents report an agent scaling somewhere, but at most 10% in any one function [D5]). Attention exceeds diffusion: AI agents are at the hype-cycle peak [D6]. Accelerators: standards [D9, D10] and vendors [D15]. Inhibitors: trust, privacy, unclear value [D7, D8].</w:t>
            </w:r>
          </w:p>
        </w:tc>
      </w:tr>
      <w:t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pPr>
              <w:spacing w:after="40"/>
            </w:pPr>
            <w:r>
              <w:rPr>
                <w:b w:val="0"/>
                <w:sz w:val="17"/>
              </w:rPr>
              <w:t>L3a FAQ chatbots in admissions: past take-off (36% of admissions/marketing respondents [D11]; NYU's own bot [D17]).</w:t>
            </w:r>
          </w:p>
          <w:p>
            <w:pPr>
              <w:spacing w:after="40"/>
            </w:pPr>
            <w:r>
              <w:rPr>
                <w:b/>
                <w:sz w:val="17"/>
              </w:rPr>
              <w:t>L3b tool-using recruitment agents: innovators / early adopters</w:t>
            </w:r>
            <w:r>
              <w:rPr>
                <w:b w:val="0"/>
                <w:sz w:val="17"/>
              </w:rPr>
              <w:t>, share unmeasurable (vendor skills and one planned deployment [D14, D15]).</w:t>
            </w:r>
          </w:p>
          <w:p>
            <w:pPr>
              <w:spacing w:after="20"/>
            </w:pPr>
            <w:r>
              <w:rPr>
                <w:b w:val="0"/>
                <w:sz w:val="17"/>
              </w:rPr>
              <w:t>Rogers factors vs the real baseline (chatbot plus staff): relative advantage unproven (inferred); compatibility mixed (observed); complexity moderate-high (inferred); trialability high (observed); observability low (observed).</w:t>
            </w:r>
          </w:p>
        </w:tc>
      </w:tr>
      <w:t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pPr>
              <w:spacing w:after="40"/>
            </w:pPr>
            <w:r>
              <w:rPr>
                <w:b/>
                <w:sz w:val="17"/>
              </w:rPr>
              <w:t>Adopter posture: fast follower | Relevant crossing: L3b among professional-education peers | Timing: prepare and trial now; no applicant-facing launch on diffusion grounds this cycle.</w:t>
            </w:r>
          </w:p>
          <w:p>
            <w:pPr>
              <w:spacing w:after="20"/>
            </w:pPr>
            <w:r>
              <w:rPr>
                <w:b w:val="0"/>
                <w:sz w:val="17"/>
              </w:rPr>
              <w:t>NYU is in the implementation stage for FAQ chatbots (Violet, NYUAdmissionsBot) and in the knowledge/persuasion stage for agents. SPS is not "late": no peer is visibly ahead on agents.</w:t>
            </w:r>
          </w:p>
        </w:tc>
      </w:tr>
      <w:t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pPr>
              <w:spacing w:after="20"/>
            </w:pPr>
            <w:r>
              <w:rPr>
                <w:b w:val="0"/>
                <w:sz w:val="17"/>
              </w:rPr>
              <w:t>Run the sandbox comparison from Assignments 3-4 (staff, Violet or simple retrieval, proposed agent) now, while trialability is high. Watch the peer-observability triggers. The Adoption specialist owns go/no-go and scale.</w:t>
            </w:r>
          </w:p>
        </w:tc>
      </w:tr>
      <w:t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pPr>
              <w:spacing w:after="20"/>
            </w:pPr>
            <w:r>
              <w:rPr>
                <w:b w:val="0"/>
                <w:sz w:val="17"/>
              </w:rPr>
              <w:t>L1: High. L2a: High for the number, Moderate for comparability. L2b: Moderate. L3a: Moderate (vendor survey). L3b: Moderate-Low (based on missing evidence). Peer group: Low. Timing: Moderate.</w:t>
            </w:r>
          </w:p>
        </w:tc>
      </w:tr>
      <w:t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pPr>
              <w:spacing w:after="40"/>
            </w:pPr>
            <w:r>
              <w:rPr>
                <w:b w:val="0"/>
                <w:sz w:val="17"/>
              </w:rPr>
              <w:t>Earlier timing:</w:t>
            </w:r>
          </w:p>
          <w:p>
            <w:pPr>
              <w:spacing w:after="40"/>
            </w:pPr>
            <w:r>
              <w:rPr>
                <w:b w:val="0"/>
                <w:sz w:val="17"/>
              </w:rPr>
              <w:t>- three or more comparable peers publish measured agent outcomes;</w:t>
            </w:r>
          </w:p>
          <w:p>
            <w:pPr>
              <w:spacing w:after="40"/>
            </w:pPr>
            <w:r>
              <w:rPr>
                <w:b w:val="0"/>
                <w:sz w:val="17"/>
              </w:rPr>
              <w:t>- a higher-education survey shows agent (not chatbot) use at 16% or more;</w:t>
            </w:r>
          </w:p>
          <w:p>
            <w:pPr>
              <w:spacing w:after="40"/>
            </w:pPr>
            <w:r>
              <w:rPr>
                <w:b w:val="0"/>
                <w:sz w:val="17"/>
              </w:rPr>
              <w:t>- vendors move recruitment agents from beta to general availability with named references and outcomes.</w:t>
            </w:r>
          </w:p>
          <w:p>
            <w:pPr>
              <w:spacing w:after="20"/>
            </w:pPr>
            <w:r>
              <w:rPr>
                <w:b w:val="0"/>
                <w:sz w:val="17"/>
              </w:rPr>
              <w:t>Later or hold: cancellations, incidents or agent-washing findings rise, or the Census AI-use rate stays flat.</w:t>
            </w:r>
          </w:p>
        </w:tc>
      </w:tr>
    </w:tbl>
    <w:p>
      <w:pPr>
        <w:pStyle w:val="Heading2"/>
      </w:pPr>
      <w:r>
        <w:t>Diffusion criteria (summary)</w:t>
      </w:r>
    </w:p>
    <w:p>
      <w:pPr>
        <w:spacing w:after="80"/>
      </w:pPr>
      <w:r>
        <w:rPr>
          <w:b w:val="0"/>
          <w:sz w:val="19"/>
        </w:rPr>
        <w:t>The agent applies the course framework [C1, C2]:</w:t>
      </w:r>
    </w:p>
    <w:p>
      <w:pPr>
        <w:pStyle w:val="ListBullet"/>
        <w:spacing w:after="30"/>
      </w:pPr>
      <w:r>
        <w:rPr>
          <w:b/>
          <w:sz w:val="19"/>
        </w:rPr>
        <w:t xml:space="preserve">Rogers' adopter categories </w:t>
      </w:r>
      <w:r>
        <w:rPr>
          <w:b w:val="0"/>
          <w:sz w:val="19"/>
        </w:rPr>
        <w:t>(2.5 / 13.5 / 34 / 34 / 16%) and take-off at about 16% ("crossing the chasm").</w:t>
      </w:r>
    </w:p>
    <w:p>
      <w:pPr>
        <w:pStyle w:val="ListBullet"/>
        <w:spacing w:after="30"/>
      </w:pPr>
      <w:r>
        <w:rPr>
          <w:b/>
          <w:sz w:val="19"/>
        </w:rPr>
        <w:t xml:space="preserve">Five characteristics: </w:t>
      </w:r>
      <w:r>
        <w:rPr>
          <w:b w:val="0"/>
          <w:sz w:val="19"/>
        </w:rPr>
        <w:t>relative advantage, compatibility, complexity, trialability, observability.</w:t>
      </w:r>
    </w:p>
    <w:p>
      <w:pPr>
        <w:pStyle w:val="ListBullet"/>
        <w:spacing w:after="30"/>
      </w:pPr>
      <w:r>
        <w:rPr>
          <w:b/>
          <w:sz w:val="19"/>
        </w:rPr>
        <w:t xml:space="preserve">Innovation-decision stages and roles: </w:t>
      </w:r>
      <w:r>
        <w:rPr>
          <w:b w:val="0"/>
          <w:sz w:val="19"/>
        </w:rPr>
        <w:t>change agents, opinion leaders, change aides.</w:t>
      </w:r>
    </w:p>
    <w:p>
      <w:pPr>
        <w:pStyle w:val="ListBullet"/>
        <w:spacing w:after="30"/>
      </w:pPr>
      <w:r>
        <w:rPr>
          <w:b/>
          <w:sz w:val="19"/>
        </w:rPr>
        <w:t xml:space="preserve">Adopter rules: </w:t>
      </w:r>
      <w:r>
        <w:rPr>
          <w:b w:val="0"/>
          <w:sz w:val="19"/>
        </w:rPr>
        <w:t>adopt early only if the pay-off is high and you are willing to abandon; otherwise adopt after crossing. A vendor message moving from "new" to "useful" signals crossing.</w:t>
      </w:r>
    </w:p>
    <w:p>
      <w:pPr>
        <w:pStyle w:val="ListBullet"/>
        <w:spacing w:after="30"/>
      </w:pPr>
      <w:r>
        <w:rPr>
          <w:b/>
          <w:sz w:val="19"/>
        </w:rPr>
        <w:t xml:space="preserve">Prep Lab 6 test: </w:t>
      </w:r>
      <w:r>
        <w:rPr>
          <w:b w:val="0"/>
          <w:sz w:val="19"/>
        </w:rPr>
        <w:t>separate actual diffusion from attention, investment or publicity.</w:t>
      </w:r>
    </w:p>
    <w:p>
      <w:pPr>
        <w:spacing w:after="80"/>
      </w:pPr>
      <w:r>
        <w:rPr>
          <w:b/>
          <w:sz w:val="19"/>
        </w:rPr>
        <w:t xml:space="preserve">Student extensions added after the cycle 1 failure: </w:t>
      </w:r>
      <w:r>
        <w:rPr>
          <w:b w:val="0"/>
          <w:sz w:val="19"/>
        </w:rPr>
        <w:t>a denominator rule (every figure states its population, measure, date and geography; the 16% test is applied to each population separately); a four-level ladder (L1 people, L2 organizations, L3 the application split into chatbots and agents, L4 peers and the organization); A/B/C evidence grades (grade C cannot set a stage); observed/inferred labels on every Rogers factor; and a posture-specific "relevant crossing" for timing. Full assessment: records/diffusion_factor_assessment.md.</w:t>
      </w:r>
    </w:p>
    <w:p>
      <w:pPr>
        <w:pStyle w:val="Heading1"/>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57068C" w:val="clear"/>
            <w:tcMar>
              <w:top w:w="70" w:type="dxa"/>
              <w:start w:w="90" w:type="dxa"/>
              <w:bottom w:w="70" w:type="dxa"/>
              <w:end w:w="90" w:type="dxa"/>
            </w:tcMar>
            <w:vAlign w:val="top"/>
          </w:tcPr>
          <w:p>
            <w:pPr>
              <w:spacing w:after="20"/>
            </w:pPr>
            <w:r>
              <w:rPr>
                <w:b/>
                <w:color w:val="FFFFFF"/>
                <w:sz w:val="17"/>
              </w:rPr>
              <w:t>Field</w:t>
            </w:r>
          </w:p>
        </w:tc>
        <w:tc>
          <w:tcPr>
            <w:tcW w:type="dxa" w:w="5227"/>
            <w:shd w:fill="57068C" w:val="clear"/>
            <w:tcMar>
              <w:top w:w="70" w:type="dxa"/>
              <w:start w:w="90" w:type="dxa"/>
              <w:bottom w:w="70" w:type="dxa"/>
              <w:end w:w="90" w:type="dxa"/>
            </w:tcMar>
            <w:vAlign w:val="top"/>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pPr>
              <w:spacing w:after="20"/>
            </w:pPr>
            <w:r>
              <w:rPr>
                <w:b w:val="0"/>
                <w:sz w:val="17"/>
              </w:rPr>
              <w:t>Census BTOS [D4]; Pew [D1]; Bick et al. [D2]; McKinsey [D5]; Gartner [D6, D7]; Ellucian 2026 [D11]; EDUCAUSE via GovTech [D12]; UPCEA-EDDY [D13]; NYU primary pages [D17, D18]. All dated and graded A/B/C in Appendix B.</w:t>
            </w:r>
          </w:p>
        </w:tc>
      </w:tr>
      <w:t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pPr>
              <w:spacing w:after="20"/>
            </w:pPr>
            <w:r>
              <w:rPr>
                <w:b w:val="0"/>
                <w:sz w:val="17"/>
              </w:rPr>
              <w:t>v1.1: placements as in Section C; observability is the binding factor; SPS should prepare and trial now. Valid JSON; 24 structural and invariance checks pass (tests/validation_log.txt).</w:t>
            </w:r>
          </w:p>
        </w:tc>
      </w:tr>
      <w:t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pPr>
              <w:spacing w:after="20"/>
            </w:pPr>
            <w:r>
              <w:rPr>
                <w:b w:val="0"/>
                <w:sz w:val="17"/>
              </w:rPr>
              <w:t>The L1-L2 general paragraph and the L3 application paragraph are byte-identical across all four outputs, including the five-factor ratings.</w:t>
            </w:r>
          </w:p>
        </w:tc>
      </w:tr>
      <w:t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pPr>
              <w:spacing w:after="40"/>
            </w:pPr>
            <w:r>
              <w:rPr>
                <w:b w:val="0"/>
                <w:sz w:val="17"/>
              </w:rPr>
              <w:t>The relevant crossing and the timing change with posture:</w:t>
            </w:r>
          </w:p>
          <w:p>
            <w:pPr>
              <w:spacing w:after="40"/>
            </w:pPr>
            <w:r>
              <w:rPr>
                <w:b w:val="0"/>
                <w:sz w:val="17"/>
              </w:rPr>
              <w:t>- SPS: prepare and trial now.</w:t>
            </w:r>
          </w:p>
          <w:p>
            <w:pPr>
              <w:spacing w:after="40"/>
            </w:pPr>
            <w:r>
              <w:rPr>
                <w:b w:val="0"/>
                <w:sz w:val="17"/>
              </w:rPr>
              <w:t>- Aggressive provider: a bounded, reversible live trial now, with an abandonment criterion.</w:t>
            </w:r>
          </w:p>
          <w:p>
            <w:pPr>
              <w:spacing w:after="40"/>
            </w:pPr>
            <w:r>
              <w:rPr>
                <w:b w:val="0"/>
                <w:sz w:val="17"/>
              </w:rPr>
              <w:t>- Conservative college: wait and monitor; governance work now.</w:t>
            </w:r>
          </w:p>
          <w:p>
            <w:pPr>
              <w:spacing w:after="20"/>
            </w:pPr>
            <w:r>
              <w:rPr>
                <w:b w:val="0"/>
                <w:sz w:val="17"/>
              </w:rPr>
              <w:t>The peer-group (L4) reading changes only where the evidence differs.</w:t>
            </w:r>
          </w:p>
        </w:tc>
      </w:tr>
      <w:t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pPr>
              <w:spacing w:after="40"/>
            </w:pPr>
            <w:r>
              <w:rPr>
                <w:b/>
                <w:sz w:val="17"/>
              </w:rPr>
              <w:t xml:space="preserve">Preserved failure (cycle 1): </w:t>
            </w:r>
            <w:r>
              <w:rPr>
                <w:b w:val="0"/>
                <w:sz w:val="17"/>
              </w:rPr>
              <w:t>v1.0 declared agentic AI "early majority, past the chasm". It compared numbers from different populations with the 16% line: adults who ever used generative AI, executive-survey respondents whose organizations scale agents "somewhere", and developers.</w:t>
            </w:r>
          </w:p>
          <w:p>
            <w:pPr>
              <w:spacing w:after="20"/>
            </w:pPr>
            <w:r>
              <w:rPr>
                <w:b w:val="0"/>
                <w:sz w:val="17"/>
              </w:rPr>
              <w:t>It also let a stale 2023 admissions survey and a vendor's projected $800 saving set the application stage. It treated chatbots as agents. It told SPS to pilot now and a conservative college to adopt within 18 months, and it accepted two of five weak memo claims.</w:t>
            </w:r>
          </w:p>
        </w:tc>
      </w:tr>
      <w:t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pPr>
              <w:spacing w:after="20"/>
            </w:pPr>
            <w:r>
              <w:rPr>
                <w:b w:val="0"/>
                <w:sz w:val="17"/>
              </w:rPr>
              <w:t>v1.1 adds the denominator rule, the L1-L4 ladder, evidence grades, observed/inferred labels, an attention-versus-diffusion check, posture-specific timing with triggers, and a required weak-claim field. The same inputs were rerun; cycle 1 outputs are archived unedited.</w:t>
            </w:r>
          </w:p>
        </w:tc>
      </w:tr>
      <w:t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pPr>
              <w:spacing w:after="40"/>
            </w:pPr>
            <w:r>
              <w:rPr>
                <w:b/>
                <w:sz w:val="17"/>
              </w:rPr>
              <w:t xml:space="preserve">Weak claim: </w:t>
            </w:r>
            <w:r>
              <w:rPr>
                <w:b w:val="0"/>
                <w:sz w:val="17"/>
              </w:rPr>
              <w:t>"56% of colleges use AI in admissions; 82% by 2024" [D20]. It is stale (2023), mixes in high schools, does not disclose its sampling, and is mostly about reviewing documents, so it cannot place the application.</w:t>
            </w:r>
          </w:p>
          <w:p>
            <w:pPr>
              <w:spacing w:after="20"/>
            </w:pPr>
            <w:r>
              <w:rPr>
                <w:b w:val="0"/>
                <w:sz w:val="17"/>
              </w:rPr>
              <w:t>Biggest gap: there is no representative measure of agent adoption anywhere. Other limits: one AI session generated and reviewed the outputs (not ChatGPT, not blinded); two organizations are synthetic; Chapter 6 of the textbook was not supplied.</w:t>
            </w:r>
          </w:p>
        </w:tc>
      </w:tr>
    </w:tbl>
    <w:p>
      <w:pPr>
        <w:pStyle w:val="Heading2"/>
      </w:pPr>
      <w:r>
        <w:t>Two rounds of diagnostic testing</w:t>
      </w:r>
    </w:p>
    <w:tbl>
      <w:tblPr>
        <w:tblStyle w:val="TableGrid"/>
        <w:tblW w:type="auto" w:w="0"/>
        <w:tblLook w:firstColumn="1" w:firstRow="1" w:lastColumn="0" w:lastRow="0" w:noHBand="0" w:noVBand="1" w:val="04A0"/>
      </w:tblPr>
      <w:tblGrid>
        <w:gridCol w:w="3485"/>
        <w:gridCol w:w="3485"/>
        <w:gridCol w:w="3485"/>
      </w:tblGrid>
      <w:tr>
        <w:trPr>
          <w:tblHeader w:val="true"/>
        </w:trPr>
        <w:tc>
          <w:tcPr>
            <w:tcW w:type="dxa" w:w="2200"/>
            <w:shd w:val="clear" w:color="auto" w:fill="57068C"/>
            <w:tcMar>
              <w:top w:w="70" w:type="dxa"/>
              <w:start w:w="90" w:type="dxa"/>
              <w:bottom w:w="70" w:type="dxa"/>
              <w:end w:w="90" w:type="dxa"/>
            </w:tcMar>
          </w:tcPr>
          <w:p>
            <w:pPr>
              <w:spacing w:after="20"/>
            </w:pPr>
            <w:r>
              <w:rPr>
                <w:b/>
                <w:color w:val="FFFFFF"/>
                <w:sz w:val="17"/>
              </w:rPr>
              <w:t>Case</w:t>
            </w:r>
          </w:p>
        </w:tc>
        <w:tc>
          <w:tcPr>
            <w:tcW w:type="dxa" w:w="3800"/>
            <w:shd w:val="clear" w:color="auto" w:fill="57068C"/>
            <w:tcMar>
              <w:top w:w="70" w:type="dxa"/>
              <w:start w:w="90" w:type="dxa"/>
              <w:bottom w:w="70" w:type="dxa"/>
              <w:end w:w="90" w:type="dxa"/>
            </w:tcMar>
          </w:tcPr>
          <w:p>
            <w:pPr>
              <w:spacing w:after="20"/>
            </w:pPr>
            <w:r>
              <w:rPr>
                <w:b/>
                <w:color w:val="FFFFFF"/>
                <w:sz w:val="17"/>
              </w:rPr>
              <w:t>Cycle 1 (v1.0)</w:t>
            </w:r>
          </w:p>
        </w:tc>
        <w:tc>
          <w:tcPr>
            <w:tcW w:type="dxa" w:w="4460"/>
            <w:shd w:val="clear" w:color="auto" w:fill="57068C"/>
            <w:tcMar>
              <w:top w:w="70" w:type="dxa"/>
              <w:start w:w="90" w:type="dxa"/>
              <w:bottom w:w="70" w:type="dxa"/>
              <w:end w:w="90" w:type="dxa"/>
            </w:tcMar>
          </w:tcPr>
          <w:p>
            <w:pPr>
              <w:spacing w:after="20"/>
            </w:pPr>
            <w:r>
              <w:rPr>
                <w:b/>
                <w:color w:val="FFFFFF"/>
                <w:sz w:val="17"/>
              </w:rPr>
              <w:t>Cycle 2 (v1.1)</w:t>
            </w:r>
          </w:p>
        </w:tc>
      </w:tr>
      <w:tr>
        <w:tc>
          <w:tcPr>
            <w:tcW w:type="dxa" w:w="2200"/>
            <w:tcMar>
              <w:top w:w="70" w:type="dxa"/>
              <w:start w:w="90" w:type="dxa"/>
              <w:bottom w:w="70" w:type="dxa"/>
              <w:end w:w="90" w:type="dxa"/>
            </w:tcMar>
          </w:tcPr>
          <w:p>
            <w:pPr>
              <w:spacing w:after="20"/>
            </w:pPr>
            <w:r>
              <w:rPr>
                <w:b w:val="0"/>
                <w:sz w:val="17"/>
              </w:rPr>
              <w:t>Primary: NYU SPS, fast follower</w:t>
            </w:r>
          </w:p>
        </w:tc>
        <w:tc>
          <w:tcPr>
            <w:tcW w:type="dxa" w:w="3800"/>
            <w:tcMar>
              <w:top w:w="70" w:type="dxa"/>
              <w:start w:w="90" w:type="dxa"/>
              <w:bottom w:w="70" w:type="dxa"/>
              <w:end w:w="90" w:type="dxa"/>
            </w:tcMar>
          </w:tcPr>
          <w:p>
            <w:pPr>
              <w:spacing w:after="20"/>
            </w:pPr>
            <w:r>
              <w:rPr>
                <w:b w:val="0"/>
                <w:sz w:val="17"/>
              </w:rPr>
              <w:t>"Past the chasm"; begin an applicant-facing pilot this cycle</w:t>
            </w:r>
          </w:p>
        </w:tc>
        <w:tc>
          <w:tcPr>
            <w:tcW w:type="dxa" w:w="4460"/>
            <w:tcMar>
              <w:top w:w="70" w:type="dxa"/>
              <w:start w:w="90" w:type="dxa"/>
              <w:bottom w:w="70" w:type="dxa"/>
              <w:end w:w="90" w:type="dxa"/>
            </w:tcMar>
          </w:tcPr>
          <w:p>
            <w:pPr>
              <w:spacing w:after="20"/>
            </w:pPr>
            <w:r>
              <w:rPr>
                <w:b w:val="0"/>
                <w:sz w:val="17"/>
              </w:rPr>
              <w:t>Agents before the chasm; prepare and trial now; no go/no-go</w:t>
            </w:r>
          </w:p>
        </w:tc>
      </w:tr>
      <w:tr>
        <w:tc>
          <w:tcPr>
            <w:tcW w:type="dxa" w:w="2200"/>
            <w:tcMar>
              <w:top w:w="70" w:type="dxa"/>
              <w:start w:w="90" w:type="dxa"/>
              <w:bottom w:w="70" w:type="dxa"/>
              <w:end w:w="90" w:type="dxa"/>
            </w:tcMar>
          </w:tcPr>
          <w:p>
            <w:pPr>
              <w:spacing w:after="20"/>
            </w:pPr>
            <w:r>
              <w:rPr>
                <w:b w:val="0"/>
                <w:sz w:val="17"/>
              </w:rPr>
              <w:t>Contrast 1: aggressive provider</w:t>
            </w:r>
          </w:p>
        </w:tc>
        <w:tc>
          <w:tcPr>
            <w:tcW w:type="dxa" w:w="3800"/>
            <w:tcMar>
              <w:top w:w="70" w:type="dxa"/>
              <w:start w:w="90" w:type="dxa"/>
              <w:bottom w:w="70" w:type="dxa"/>
              <w:end w:w="90" w:type="dxa"/>
            </w:tcMar>
          </w:tcPr>
          <w:p>
            <w:pPr>
              <w:spacing w:after="20"/>
            </w:pPr>
            <w:r>
              <w:rPr>
                <w:b w:val="0"/>
                <w:sz w:val="17"/>
              </w:rPr>
              <w:t>Deploy a production agent within a quarter; "window closing"</w:t>
            </w:r>
          </w:p>
        </w:tc>
        <w:tc>
          <w:tcPr>
            <w:tcW w:type="dxa" w:w="4460"/>
            <w:tcMar>
              <w:top w:w="70" w:type="dxa"/>
              <w:start w:w="90" w:type="dxa"/>
              <w:bottom w:w="70" w:type="dxa"/>
              <w:end w:w="90" w:type="dxa"/>
            </w:tcMar>
          </w:tcPr>
          <w:p>
            <w:pPr>
              <w:spacing w:after="20"/>
            </w:pPr>
            <w:r>
              <w:rPr>
                <w:b w:val="0"/>
                <w:sz w:val="17"/>
              </w:rPr>
              <w:t>Same evidence; bounded, reversible live trial with abandonment criterion</w:t>
            </w:r>
          </w:p>
        </w:tc>
      </w:tr>
      <w:tr>
        <w:tc>
          <w:tcPr>
            <w:tcW w:type="dxa" w:w="2200"/>
            <w:tcMar>
              <w:top w:w="70" w:type="dxa"/>
              <w:start w:w="90" w:type="dxa"/>
              <w:bottom w:w="70" w:type="dxa"/>
              <w:end w:w="90" w:type="dxa"/>
            </w:tcMar>
          </w:tcPr>
          <w:p>
            <w:pPr>
              <w:spacing w:after="20"/>
            </w:pPr>
            <w:r>
              <w:rPr>
                <w:b w:val="0"/>
                <w:sz w:val="17"/>
              </w:rPr>
              <w:t>Contrast 2: conservative college</w:t>
            </w:r>
          </w:p>
        </w:tc>
        <w:tc>
          <w:tcPr>
            <w:tcW w:type="dxa" w:w="3800"/>
            <w:tcMar>
              <w:top w:w="70" w:type="dxa"/>
              <w:start w:w="90" w:type="dxa"/>
              <w:bottom w:w="70" w:type="dxa"/>
              <w:end w:w="90" w:type="dxa"/>
            </w:tcMar>
          </w:tcPr>
          <w:p>
            <w:pPr>
              <w:spacing w:after="20"/>
            </w:pPr>
            <w:r>
              <w:rPr>
                <w:b w:val="0"/>
                <w:sz w:val="17"/>
              </w:rPr>
              <w:t>"Even a conservative college should adopt within 18 months"</w:t>
            </w:r>
          </w:p>
        </w:tc>
        <w:tc>
          <w:tcPr>
            <w:tcW w:type="dxa" w:w="4460"/>
            <w:tcMar>
              <w:top w:w="70" w:type="dxa"/>
              <w:start w:w="90" w:type="dxa"/>
              <w:bottom w:w="70" w:type="dxa"/>
              <w:end w:w="90" w:type="dxa"/>
            </w:tcMar>
          </w:tcPr>
          <w:p>
            <w:pPr>
              <w:spacing w:after="20"/>
            </w:pPr>
            <w:r>
              <w:rPr>
                <w:b w:val="0"/>
                <w:sz w:val="17"/>
              </w:rPr>
              <w:t>Same evidence; wait and monitor; FOMO argument withdrawn</w:t>
            </w:r>
          </w:p>
        </w:tc>
      </w:tr>
      <w:tr>
        <w:tc>
          <w:tcPr>
            <w:tcW w:type="dxa" w:w="2200"/>
            <w:tcMar>
              <w:top w:w="70" w:type="dxa"/>
              <w:start w:w="90" w:type="dxa"/>
              <w:bottom w:w="70" w:type="dxa"/>
              <w:end w:w="90" w:type="dxa"/>
            </w:tcMar>
          </w:tcPr>
          <w:p>
            <w:pPr>
              <w:spacing w:after="20"/>
            </w:pPr>
            <w:r>
              <w:rPr>
                <w:b w:val="0"/>
                <w:sz w:val="17"/>
              </w:rPr>
              <w:t>Evidence probe: SPS plus memo</w:t>
            </w:r>
          </w:p>
        </w:tc>
        <w:tc>
          <w:tcPr>
            <w:tcW w:type="dxa" w:w="3800"/>
            <w:tcMar>
              <w:top w:w="70" w:type="dxa"/>
              <w:start w:w="90" w:type="dxa"/>
              <w:bottom w:w="70" w:type="dxa"/>
              <w:end w:w="90" w:type="dxa"/>
            </w:tcMar>
          </w:tcPr>
          <w:p>
            <w:pPr>
              <w:spacing w:after="20"/>
            </w:pPr>
            <w:r>
              <w:rPr>
                <w:b w:val="0"/>
                <w:sz w:val="17"/>
              </w:rPr>
              <w:t>Accepted the 82% and 23% claims and the memo's conclusion</w:t>
            </w:r>
          </w:p>
        </w:tc>
        <w:tc>
          <w:tcPr>
            <w:tcW w:type="dxa" w:w="4460"/>
            <w:tcMar>
              <w:top w:w="70" w:type="dxa"/>
              <w:start w:w="90" w:type="dxa"/>
              <w:bottom w:w="70" w:type="dxa"/>
              <w:end w:w="90" w:type="dxa"/>
            </w:tcMar>
          </w:tcPr>
          <w:p>
            <w:pPr>
              <w:spacing w:after="20"/>
            </w:pPr>
            <w:r>
              <w:rPr>
                <w:b w:val="0"/>
                <w:sz w:val="17"/>
              </w:rPr>
              <w:t>All five claims graded and rejected or deferred; identical to primary</w:t>
            </w:r>
          </w:p>
        </w:tc>
      </w:tr>
    </w:tbl>
    <w:p>
      <w:pPr>
        <w:spacing w:after="60"/>
      </w:pPr>
      <w:r>
        <w:rPr>
          <w:b w:val="0"/>
          <w:sz w:val="19"/>
        </w:rPr>
        <w:t>Eighteen of the 24 checks cover frozen-core integrity, case design, contracts, hashes and identical general findings. The other six cover v1.1 promises: identical L3 paragraph, different timing across postures, a weak claim named, evidence grades, probe invariance, and preserved cycle 1 failures. The qualitative reviews are in tests/cycle_1/review.md and tests/cycle_2/review.md.</w:t>
      </w:r>
    </w:p>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shd w:fill="57068C" w:val="clear"/>
            <w:tcMar>
              <w:top w:w="70" w:type="dxa"/>
              <w:start w:w="90" w:type="dxa"/>
              <w:bottom w:w="70" w:type="dxa"/>
              <w:end w:w="90" w:type="dxa"/>
            </w:tcMar>
            <w:vAlign w:val="top"/>
          </w:tcPr>
          <w:p>
            <w:pPr>
              <w:spacing w:after="20"/>
            </w:pPr>
            <w:r>
              <w:rPr>
                <w:b/>
                <w:color w:val="FFFFFF"/>
                <w:sz w:val="17"/>
              </w:rPr>
              <w:t>Field</w:t>
            </w:r>
          </w:p>
        </w:tc>
        <w:tc>
          <w:tcPr>
            <w:tcW w:type="dxa" w:w="5227"/>
            <w:shd w:fill="57068C" w:val="clear"/>
            <w:tcMar>
              <w:top w:w="70" w:type="dxa"/>
              <w:start w:w="90" w:type="dxa"/>
              <w:bottom w:w="70" w:type="dxa"/>
              <w:end w:w="90" w:type="dxa"/>
            </w:tcMar>
            <w:vAlign w:val="top"/>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pPr>
              <w:spacing w:after="20"/>
            </w:pPr>
            <w:r>
              <w:rPr>
                <w:b w:val="0"/>
                <w:sz w:val="17"/>
                <w:highlight w:val="yellow"/>
              </w:rPr>
              <w:t>[STUDENT INPUT REQUIRED - INDEPENDENT JUDGMENT] In 2-4 sentences, in your own words: do you accept this agent for team consideration? Where do you think agent-based applicant support is in its diffusion, which factor matters most, and what timing follows for SPS? Give one condition that would change your view. Delete this instruction.</w:t>
            </w:r>
          </w:p>
        </w:tc>
      </w:tr>
      <w:t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pPr>
              <w:spacing w:after="40"/>
            </w:pPr>
            <w:r>
              <w:rPr>
                <w:b w:val="0"/>
                <w:sz w:val="17"/>
              </w:rPr>
              <w:t>Adopt the denominator rule across the integrated tool: every adoption figure carries its population, measure, date and geography, and no specialist compares across populations against the 16% line.</w:t>
            </w:r>
          </w:p>
          <w:p>
            <w:pPr>
              <w:spacing w:after="20"/>
            </w:pPr>
            <w:r>
              <w:rPr>
                <w:b w:val="0"/>
                <w:sz w:val="17"/>
              </w:rPr>
              <w:t>Caution for the Adoption Agent: "people use generative AI" and "vendors sell agents" are not evidence that agent-based applicant support has crossed. Key go/no-go on peer evidence and on SPS's comparison against Violet.</w:t>
            </w:r>
          </w:p>
        </w:tc>
      </w:tr>
      <w:t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pPr>
              <w:spacing w:after="40"/>
            </w:pPr>
            <w:r>
              <w:rPr>
                <w:b w:val="0"/>
                <w:sz w:val="17"/>
              </w:rPr>
              <w:t>I used Claude (Anthropic) in place of ChatGPT/Codex as the development partner and model runtime. It drafted and revised the specialist instructions, built the four cases, answered the frozen prompt packets in both cycles and reviewed the outputs. The frozen scripts built the packets and validated every response.</w:t>
            </w:r>
          </w:p>
          <w:p>
            <w:pPr>
              <w:spacing w:after="40"/>
            </w:pPr>
            <w:r>
              <w:rPr>
                <w:b w:val="0"/>
                <w:sz w:val="17"/>
              </w:rPr>
              <w:t>Adoption figures were taken from dated original sources opened on October 25, 2026 (Census, Pew, McKinsey, Ellucian, UPCEA, NYU pages) and graded A/B/C. Course concepts were checked against the Module 6 slides. Model memory and AI summaries were not used as evidence.</w:t>
            </w:r>
          </w:p>
          <w:p>
            <w:pPr>
              <w:spacing w:after="20"/>
            </w:pPr>
            <w:r>
              <w:rPr>
                <w:b w:val="0"/>
                <w:sz w:val="17"/>
              </w:rPr>
              <w:t>Limit: one AI session generated and critiqued the outputs; there was no blinded review.</w:t>
            </w:r>
          </w:p>
          <w:p>
            <w:pPr>
              <w:spacing w:after="20"/>
            </w:pPr>
            <w:r>
              <w:rPr>
                <w:b w:val="0"/>
                <w:sz w:val="17"/>
                <w:highlight w:val="yellow"/>
              </w:rPr>
              <w:t>[STUDENT INPUT REQUIRED] Add one sentence on what you personally checked (for example, the Census 19.8% figure, the Ellucian 36% chatbot figure, or the cycle 1 vs cycle 2 outputs).</w:t>
            </w:r>
          </w:p>
        </w:tc>
      </w:tr>
    </w:tbl>
    <w:p>
      <w:pPr>
        <w:pStyle w:val="Heading2"/>
      </w:pPr>
      <w:r>
        <w:t>Analytical conclusion for student review</w:t>
      </w:r>
    </w:p>
    <w:p>
      <w:pPr>
        <w:spacing w:after="80"/>
      </w:pPr>
      <w:r>
        <w:rPr>
          <w:b/>
          <w:sz w:val="19"/>
        </w:rPr>
        <w:t xml:space="preserve">Where is it in the diffusion process? </w:t>
      </w:r>
      <w:r>
        <w:rPr>
          <w:b w:val="0"/>
          <w:sz w:val="19"/>
        </w:rPr>
        <w:t>It depends on whose adoption you count. Generative AI among people is past take-off [D1, D2]. FAQ chatbots in admissions are past take-off, and NYU itself runs one [D11, D17, D18]. Tool-using recruitment agents, the actual proposal, are still at the innovator and early-adopter stage, and there is no representative measure of them [D11-D15].</w:t>
      </w:r>
    </w:p>
    <w:p>
      <w:pPr>
        <w:spacing w:after="80"/>
      </w:pPr>
      <w:r>
        <w:rPr>
          <w:b/>
          <w:sz w:val="19"/>
        </w:rPr>
        <w:t xml:space="preserve">Which factor matters most? </w:t>
      </w:r>
      <w:r>
        <w:rPr>
          <w:b w:val="0"/>
          <w:sz w:val="19"/>
        </w:rPr>
        <w:t>Observability. No comparable institution has published measured results for recruitment agents. A fast follower decides on visible peer results, so there is nothing yet to follow. That is also why this diffusion is pushed by vendors rather than pulled by peers.</w:t>
      </w:r>
    </w:p>
    <w:p>
      <w:pPr>
        <w:spacing w:after="80"/>
      </w:pPr>
      <w:r>
        <w:rPr>
          <w:b/>
          <w:sz w:val="19"/>
        </w:rPr>
        <w:t xml:space="preserve">What timing follows for SPS? </w:t>
      </w:r>
      <w:r>
        <w:rPr>
          <w:b w:val="0"/>
          <w:sz w:val="19"/>
        </w:rPr>
        <w:t>Prepare and trial now, not launch. Trialability is high and learning is cheap, so SPS should run its sandbox comparison against Violet now. It should move toward an adoption decision when peers publish results or vendors ship referenced, generally available agents. That decision belongs to the Adoption specialist.</w:t>
      </w:r>
    </w:p>
    <w:p>
      <w:pPr>
        <w:pStyle w:val="Heading2"/>
      </w:pPr>
      <w:r>
        <w:t>Team handoff</w:t>
      </w:r>
    </w:p>
    <w:p>
      <w:pPr>
        <w:pStyle w:val="ListBullet"/>
        <w:spacing w:after="30"/>
      </w:pPr>
      <w:r>
        <w:rPr>
          <w:b/>
          <w:sz w:val="19"/>
        </w:rPr>
        <w:t xml:space="preserve">Agent package: </w:t>
      </w:r>
      <w:r>
        <w:rPr>
          <w:b w:val="0"/>
          <w:sz w:val="19"/>
        </w:rPr>
        <w:t>agents/diffusion_agent (instructions, four cases, eight outputs, graded register, verifier).</w:t>
      </w:r>
    </w:p>
    <w:p>
      <w:pPr>
        <w:pStyle w:val="ListBullet"/>
        <w:spacing w:after="30"/>
      </w:pPr>
      <w:r>
        <w:rPr>
          <w:b/>
          <w:sz w:val="19"/>
        </w:rPr>
        <w:t xml:space="preserve">Strongest diffusion signal: </w:t>
      </w:r>
      <w:r>
        <w:rPr>
          <w:b w:val="0"/>
          <w:sz w:val="19"/>
        </w:rPr>
        <w:t>FAQ chatbots in admissions have crossed, including at NYU [D11, D17, D18]. The conversational channel and user familiarity already exist.</w:t>
      </w:r>
    </w:p>
    <w:p>
      <w:pPr>
        <w:pStyle w:val="ListBullet"/>
        <w:spacing w:after="30"/>
      </w:pPr>
      <w:r>
        <w:rPr>
          <w:b/>
          <w:sz w:val="19"/>
        </w:rPr>
        <w:t xml:space="preserve">Most important inhibitor: </w:t>
      </w:r>
      <w:r>
        <w:rPr>
          <w:b w:val="0"/>
          <w:sz w:val="19"/>
        </w:rPr>
        <w:t>low observability of agent outcomes; then data privacy and security, the top higher-education barrier [D11, D12].</w:t>
      </w:r>
    </w:p>
    <w:p>
      <w:pPr>
        <w:pStyle w:val="ListBullet"/>
        <w:spacing w:after="30"/>
      </w:pPr>
      <w:r>
        <w:rPr>
          <w:b/>
          <w:sz w:val="19"/>
        </w:rPr>
        <w:t xml:space="preserve">Context-sensitive timing: </w:t>
      </w:r>
      <w:r>
        <w:rPr>
          <w:b w:val="0"/>
          <w:sz w:val="19"/>
        </w:rPr>
        <w:t>fast follower: prepare and trial; early adopter: bounded live trial; conservative: wait and monitor. Same evidence in all three.</w:t>
      </w:r>
    </w:p>
    <w:p>
      <w:pPr>
        <w:pStyle w:val="ListBullet"/>
        <w:spacing w:after="30"/>
      </w:pPr>
      <w:r>
        <w:rPr>
          <w:b/>
          <w:sz w:val="19"/>
        </w:rPr>
        <w:t xml:space="preserve">Caution for the Adoption Agent: </w:t>
      </w:r>
      <w:r>
        <w:rPr>
          <w:b w:val="0"/>
          <w:sz w:val="19"/>
        </w:rPr>
        <w:t>the denominator rule. Do not treat L1 or vendor availability as proof that the application has crossed.</w:t>
      </w:r>
    </w:p>
    <w:p>
      <w:pPr>
        <w:pStyle w:val="Heading1"/>
      </w:pPr>
      <w:r>
        <w:t>F. Personal reflection</w:t>
      </w:r>
    </w:p>
    <w:p>
      <w:pPr>
        <w:spacing w:after="80"/>
      </w:pPr>
      <w:r>
        <w:rPr>
          <w:b w:val="0"/>
          <w:sz w:val="19"/>
          <w:highlight w:val="yellow"/>
        </w:rPr>
        <w:t>[STUDENT INPUT REQUIRED - PERSONAL REFLECTION] About 100-150 words in your own voice: what you first expected about how widely AI agents are used, which source or test changed your view (for example the Census 19.8%, the chatbot-versus-agent split, or the cycle 1 chasm error), what you still worry the agent could get wrong, and what you would check next time. The rubric grades this as your own input. Delete this instruction.</w:t>
      </w:r>
    </w:p>
    <w:p>
      <w:pPr>
        <w:pStyle w:val="Heading1"/>
        <w:pageBreakBefore/>
      </w:pPr>
      <w:r>
        <w:t>Appendix A. Diffusion-factor assessment</w:t>
      </w:r>
    </w:p>
    <w:tbl>
      <w:tblPr>
        <w:tblStyle w:val="TableGrid"/>
        <w:tblW w:type="auto" w:w="0"/>
        <w:tblLook w:firstColumn="1" w:firstRow="1" w:lastColumn="0" w:lastRow="0" w:noHBand="0" w:noVBand="1" w:val="04A0"/>
      </w:tblPr>
      <w:tblGrid>
        <w:gridCol w:w="2613"/>
        <w:gridCol w:w="2613"/>
        <w:gridCol w:w="2613"/>
        <w:gridCol w:w="2613"/>
      </w:tblGrid>
      <w:tr>
        <w:trPr>
          <w:tblHeader w:val="true"/>
        </w:trPr>
        <w:tc>
          <w:tcPr>
            <w:tcW w:type="dxa" w:w="800"/>
            <w:shd w:val="clear" w:color="auto" w:fill="57068C"/>
            <w:tcMar>
              <w:top w:w="70" w:type="dxa"/>
              <w:start w:w="90" w:type="dxa"/>
              <w:bottom w:w="70" w:type="dxa"/>
              <w:end w:w="90" w:type="dxa"/>
            </w:tcMar>
          </w:tcPr>
          <w:p>
            <w:pPr>
              <w:spacing w:after="20"/>
            </w:pPr>
            <w:r>
              <w:rPr>
                <w:b/>
                <w:color w:val="FFFFFF"/>
                <w:sz w:val="17"/>
              </w:rPr>
              <w:t>Level</w:t>
            </w:r>
          </w:p>
        </w:tc>
        <w:tc>
          <w:tcPr>
            <w:tcW w:type="dxa" w:w="3000"/>
            <w:shd w:val="clear" w:color="auto" w:fill="57068C"/>
            <w:tcMar>
              <w:top w:w="70" w:type="dxa"/>
              <w:start w:w="90" w:type="dxa"/>
              <w:bottom w:w="70" w:type="dxa"/>
              <w:end w:w="90" w:type="dxa"/>
            </w:tcMar>
          </w:tcPr>
          <w:p>
            <w:pPr>
              <w:spacing w:after="20"/>
            </w:pPr>
            <w:r>
              <w:rPr>
                <w:b/>
                <w:color w:val="FFFFFF"/>
                <w:sz w:val="17"/>
              </w:rPr>
              <w:t>Population and measure</w:t>
            </w:r>
          </w:p>
        </w:tc>
        <w:tc>
          <w:tcPr>
            <w:tcW w:type="dxa" w:w="4060"/>
            <w:shd w:val="clear" w:color="auto" w:fill="57068C"/>
            <w:tcMar>
              <w:top w:w="70" w:type="dxa"/>
              <w:start w:w="90" w:type="dxa"/>
              <w:bottom w:w="70" w:type="dxa"/>
              <w:end w:w="90" w:type="dxa"/>
            </w:tcMar>
          </w:tcPr>
          <w:p>
            <w:pPr>
              <w:spacing w:after="20"/>
            </w:pPr>
            <w:r>
              <w:rPr>
                <w:b/>
                <w:color w:val="FFFFFF"/>
                <w:sz w:val="17"/>
              </w:rPr>
              <w:t>Best evidence</w:t>
            </w:r>
          </w:p>
        </w:tc>
        <w:tc>
          <w:tcPr>
            <w:tcW w:type="dxa" w:w="2600"/>
            <w:shd w:val="clear" w:color="auto" w:fill="57068C"/>
            <w:tcMar>
              <w:top w:w="70" w:type="dxa"/>
              <w:start w:w="90" w:type="dxa"/>
              <w:bottom w:w="70" w:type="dxa"/>
              <w:end w:w="90" w:type="dxa"/>
            </w:tcMar>
          </w:tcPr>
          <w:p>
            <w:pPr>
              <w:spacing w:after="20"/>
            </w:pPr>
            <w:r>
              <w:rPr>
                <w:b/>
                <w:color w:val="FFFFFF"/>
                <w:sz w:val="17"/>
              </w:rPr>
              <w:t>Placement</w:t>
            </w:r>
          </w:p>
        </w:tc>
      </w:tr>
      <w:tr>
        <w:tc>
          <w:tcPr>
            <w:tcW w:type="dxa" w:w="800"/>
            <w:tcMar>
              <w:top w:w="70" w:type="dxa"/>
              <w:start w:w="90" w:type="dxa"/>
              <w:bottom w:w="70" w:type="dxa"/>
              <w:end w:w="90" w:type="dxa"/>
            </w:tcMar>
          </w:tcPr>
          <w:p>
            <w:pPr>
              <w:spacing w:after="20"/>
            </w:pPr>
            <w:r>
              <w:rPr>
                <w:b w:val="0"/>
                <w:sz w:val="17"/>
              </w:rPr>
              <w:t>L1</w:t>
            </w:r>
          </w:p>
        </w:tc>
        <w:tc>
          <w:tcPr>
            <w:tcW w:type="dxa" w:w="3000"/>
            <w:tcMar>
              <w:top w:w="70" w:type="dxa"/>
              <w:start w:w="90" w:type="dxa"/>
              <w:bottom w:w="70" w:type="dxa"/>
              <w:end w:w="90" w:type="dxa"/>
            </w:tcMar>
          </w:tcPr>
          <w:p>
            <w:pPr>
              <w:spacing w:after="20"/>
            </w:pPr>
            <w:r>
              <w:rPr>
                <w:b w:val="0"/>
                <w:sz w:val="17"/>
              </w:rPr>
              <w:t>U.S. adults; ever used / use genAI</w:t>
            </w:r>
          </w:p>
        </w:tc>
        <w:tc>
          <w:tcPr>
            <w:tcW w:type="dxa" w:w="4060"/>
            <w:tcMar>
              <w:top w:w="70" w:type="dxa"/>
              <w:start w:w="90" w:type="dxa"/>
              <w:bottom w:w="70" w:type="dxa"/>
              <w:end w:w="90" w:type="dxa"/>
            </w:tcMar>
          </w:tcPr>
          <w:p>
            <w:pPr>
              <w:spacing w:after="20"/>
            </w:pPr>
            <w:r>
              <w:rPr>
                <w:b w:val="0"/>
                <w:sz w:val="17"/>
              </w:rPr>
              <w:t>34% [D1, A]; ~40% [D2, A]; 28.3% telemetry [D3, B]</w:t>
            </w:r>
          </w:p>
        </w:tc>
        <w:tc>
          <w:tcPr>
            <w:tcW w:type="dxa" w:w="2600"/>
            <w:tcMar>
              <w:top w:w="70" w:type="dxa"/>
              <w:start w:w="90" w:type="dxa"/>
              <w:bottom w:w="70" w:type="dxa"/>
              <w:end w:w="90" w:type="dxa"/>
            </w:tcMar>
          </w:tcPr>
          <w:p>
            <w:pPr>
              <w:spacing w:after="20"/>
            </w:pPr>
            <w:r>
              <w:rPr>
                <w:b w:val="0"/>
                <w:sz w:val="17"/>
              </w:rPr>
              <w:t>Past take-off</w:t>
            </w:r>
          </w:p>
        </w:tc>
      </w:tr>
      <w:tr>
        <w:tc>
          <w:tcPr>
            <w:tcW w:type="dxa" w:w="800"/>
            <w:tcMar>
              <w:top w:w="70" w:type="dxa"/>
              <w:start w:w="90" w:type="dxa"/>
              <w:bottom w:w="70" w:type="dxa"/>
              <w:end w:w="90" w:type="dxa"/>
            </w:tcMar>
          </w:tcPr>
          <w:p>
            <w:pPr>
              <w:spacing w:after="20"/>
            </w:pPr>
            <w:r>
              <w:rPr>
                <w:b w:val="0"/>
                <w:sz w:val="17"/>
              </w:rPr>
              <w:t>L2a</w:t>
            </w:r>
          </w:p>
        </w:tc>
        <w:tc>
          <w:tcPr>
            <w:tcW w:type="dxa" w:w="3000"/>
            <w:tcMar>
              <w:top w:w="70" w:type="dxa"/>
              <w:start w:w="90" w:type="dxa"/>
              <w:bottom w:w="70" w:type="dxa"/>
              <w:end w:w="90" w:type="dxa"/>
            </w:tcMar>
          </w:tcPr>
          <w:p>
            <w:pPr>
              <w:spacing w:after="20"/>
            </w:pPr>
            <w:r>
              <w:rPr>
                <w:b w:val="0"/>
                <w:sz w:val="17"/>
              </w:rPr>
              <w:t>U.S. firms; any AI, last 2 weeks</w:t>
            </w:r>
          </w:p>
        </w:tc>
        <w:tc>
          <w:tcPr>
            <w:tcW w:type="dxa" w:w="4060"/>
            <w:tcMar>
              <w:top w:w="70" w:type="dxa"/>
              <w:start w:w="90" w:type="dxa"/>
              <w:bottom w:w="70" w:type="dxa"/>
              <w:end w:w="90" w:type="dxa"/>
            </w:tcMar>
          </w:tcPr>
          <w:p>
            <w:pPr>
              <w:spacing w:after="20"/>
            </w:pPr>
            <w:r>
              <w:rPr>
                <w:b w:val="0"/>
                <w:sz w:val="17"/>
              </w:rPr>
              <w:t>19.8%, May 2026; 37% of 250+ firms [D4, A]</w:t>
            </w:r>
          </w:p>
        </w:tc>
        <w:tc>
          <w:tcPr>
            <w:tcW w:type="dxa" w:w="2600"/>
            <w:tcMar>
              <w:top w:w="70" w:type="dxa"/>
              <w:start w:w="90" w:type="dxa"/>
              <w:bottom w:w="70" w:type="dxa"/>
              <w:end w:w="90" w:type="dxa"/>
            </w:tcMar>
          </w:tcPr>
          <w:p>
            <w:pPr>
              <w:spacing w:after="20"/>
            </w:pPr>
            <w:r>
              <w:rPr>
                <w:b w:val="0"/>
                <w:sz w:val="17"/>
              </w:rPr>
              <w:t>At the line</w:t>
            </w:r>
          </w:p>
        </w:tc>
      </w:tr>
      <w:tr>
        <w:tc>
          <w:tcPr>
            <w:tcW w:type="dxa" w:w="800"/>
            <w:tcMar>
              <w:top w:w="70" w:type="dxa"/>
              <w:start w:w="90" w:type="dxa"/>
              <w:bottom w:w="70" w:type="dxa"/>
              <w:end w:w="90" w:type="dxa"/>
            </w:tcMar>
          </w:tcPr>
          <w:p>
            <w:pPr>
              <w:spacing w:after="20"/>
            </w:pPr>
            <w:r>
              <w:rPr>
                <w:b w:val="0"/>
                <w:sz w:val="17"/>
              </w:rPr>
              <w:t>L2b</w:t>
            </w:r>
          </w:p>
        </w:tc>
        <w:tc>
          <w:tcPr>
            <w:tcW w:type="dxa" w:w="3000"/>
            <w:tcMar>
              <w:top w:w="70" w:type="dxa"/>
              <w:start w:w="90" w:type="dxa"/>
              <w:bottom w:w="70" w:type="dxa"/>
              <w:end w:w="90" w:type="dxa"/>
            </w:tcMar>
          </w:tcPr>
          <w:p>
            <w:pPr>
              <w:spacing w:after="20"/>
            </w:pPr>
            <w:r>
              <w:rPr>
                <w:b w:val="0"/>
                <w:sz w:val="17"/>
              </w:rPr>
              <w:t>Organizations; agents scaling or in production</w:t>
            </w:r>
          </w:p>
        </w:tc>
        <w:tc>
          <w:tcPr>
            <w:tcW w:type="dxa" w:w="4060"/>
            <w:tcMar>
              <w:top w:w="70" w:type="dxa"/>
              <w:start w:w="90" w:type="dxa"/>
              <w:bottom w:w="70" w:type="dxa"/>
              <w:end w:w="90" w:type="dxa"/>
            </w:tcMar>
          </w:tcPr>
          <w:p>
            <w:pPr>
              <w:spacing w:after="20"/>
            </w:pPr>
            <w:r>
              <w:rPr>
                <w:b w:val="0"/>
                <w:sz w:val="17"/>
              </w:rPr>
              <w:t>No representative measure; 23% somewhere, at most 10% per function [D5, B]</w:t>
            </w:r>
          </w:p>
        </w:tc>
        <w:tc>
          <w:tcPr>
            <w:tcW w:type="dxa" w:w="2600"/>
            <w:tcMar>
              <w:top w:w="70" w:type="dxa"/>
              <w:start w:w="90" w:type="dxa"/>
              <w:bottom w:w="70" w:type="dxa"/>
              <w:end w:w="90" w:type="dxa"/>
            </w:tcMar>
          </w:tcPr>
          <w:p>
            <w:pPr>
              <w:spacing w:after="20"/>
            </w:pPr>
            <w:r>
              <w:rPr>
                <w:b w:val="0"/>
                <w:sz w:val="17"/>
              </w:rPr>
              <w:t>Early adopters, before the chasm</w:t>
            </w:r>
          </w:p>
        </w:tc>
      </w:tr>
      <w:tr>
        <w:tc>
          <w:tcPr>
            <w:tcW w:type="dxa" w:w="800"/>
            <w:tcMar>
              <w:top w:w="70" w:type="dxa"/>
              <w:start w:w="90" w:type="dxa"/>
              <w:bottom w:w="70" w:type="dxa"/>
              <w:end w:w="90" w:type="dxa"/>
            </w:tcMar>
          </w:tcPr>
          <w:p>
            <w:pPr>
              <w:spacing w:after="20"/>
            </w:pPr>
            <w:r>
              <w:rPr>
                <w:b w:val="0"/>
                <w:sz w:val="17"/>
              </w:rPr>
              <w:t>L3a</w:t>
            </w:r>
          </w:p>
        </w:tc>
        <w:tc>
          <w:tcPr>
            <w:tcW w:type="dxa" w:w="3000"/>
            <w:tcMar>
              <w:top w:w="70" w:type="dxa"/>
              <w:start w:w="90" w:type="dxa"/>
              <w:bottom w:w="70" w:type="dxa"/>
              <w:end w:w="90" w:type="dxa"/>
            </w:tcMar>
          </w:tcPr>
          <w:p>
            <w:pPr>
              <w:spacing w:after="20"/>
            </w:pPr>
            <w:r>
              <w:rPr>
                <w:b w:val="0"/>
                <w:sz w:val="17"/>
              </w:rPr>
              <w:t>Admissions staff; FAQ chatbots</w:t>
            </w:r>
          </w:p>
        </w:tc>
        <w:tc>
          <w:tcPr>
            <w:tcW w:type="dxa" w:w="4060"/>
            <w:tcMar>
              <w:top w:w="70" w:type="dxa"/>
              <w:start w:w="90" w:type="dxa"/>
              <w:bottom w:w="70" w:type="dxa"/>
              <w:end w:w="90" w:type="dxa"/>
            </w:tcMar>
          </w:tcPr>
          <w:p>
            <w:pPr>
              <w:spacing w:after="20"/>
            </w:pPr>
            <w:r>
              <w:rPr>
                <w:b w:val="0"/>
                <w:sz w:val="17"/>
              </w:rPr>
              <w:t>36% [D11, B]; NYU bot [D17]; peer since 2022 [D16]</w:t>
            </w:r>
          </w:p>
        </w:tc>
        <w:tc>
          <w:tcPr>
            <w:tcW w:type="dxa" w:w="2600"/>
            <w:tcMar>
              <w:top w:w="70" w:type="dxa"/>
              <w:start w:w="90" w:type="dxa"/>
              <w:bottom w:w="70" w:type="dxa"/>
              <w:end w:w="90" w:type="dxa"/>
            </w:tcMar>
          </w:tcPr>
          <w:p>
            <w:pPr>
              <w:spacing w:after="20"/>
            </w:pPr>
            <w:r>
              <w:rPr>
                <w:b w:val="0"/>
                <w:sz w:val="17"/>
              </w:rPr>
              <w:t>Past take-off</w:t>
            </w:r>
          </w:p>
        </w:tc>
      </w:tr>
      <w:tr>
        <w:tc>
          <w:tcPr>
            <w:tcW w:type="dxa" w:w="800"/>
            <w:tcMar>
              <w:top w:w="70" w:type="dxa"/>
              <w:start w:w="90" w:type="dxa"/>
              <w:bottom w:w="70" w:type="dxa"/>
              <w:end w:w="90" w:type="dxa"/>
            </w:tcMar>
          </w:tcPr>
          <w:p>
            <w:pPr>
              <w:spacing w:after="20"/>
            </w:pPr>
            <w:r>
              <w:rPr>
                <w:b w:val="0"/>
                <w:sz w:val="17"/>
              </w:rPr>
              <w:t>L3b</w:t>
            </w:r>
          </w:p>
        </w:tc>
        <w:tc>
          <w:tcPr>
            <w:tcW w:type="dxa" w:w="3000"/>
            <w:tcMar>
              <w:top w:w="70" w:type="dxa"/>
              <w:start w:w="90" w:type="dxa"/>
              <w:bottom w:w="70" w:type="dxa"/>
              <w:end w:w="90" w:type="dxa"/>
            </w:tcMar>
          </w:tcPr>
          <w:p>
            <w:pPr>
              <w:spacing w:after="20"/>
            </w:pPr>
            <w:r>
              <w:rPr>
                <w:b w:val="0"/>
                <w:sz w:val="17"/>
              </w:rPr>
              <w:t>Institutions; tool-using recruitment agents</w:t>
            </w:r>
          </w:p>
        </w:tc>
        <w:tc>
          <w:tcPr>
            <w:tcW w:type="dxa" w:w="4060"/>
            <w:tcMar>
              <w:top w:w="70" w:type="dxa"/>
              <w:start w:w="90" w:type="dxa"/>
              <w:bottom w:w="70" w:type="dxa"/>
              <w:end w:w="90" w:type="dxa"/>
            </w:tcMar>
          </w:tcPr>
          <w:p>
            <w:pPr>
              <w:spacing w:after="20"/>
            </w:pPr>
            <w:r>
              <w:rPr>
                <w:b w:val="0"/>
                <w:sz w:val="17"/>
              </w:rPr>
              <w:t>Vendor skills, one planned deployment [D14, D15, C]</w:t>
            </w:r>
          </w:p>
        </w:tc>
        <w:tc>
          <w:tcPr>
            <w:tcW w:type="dxa" w:w="2600"/>
            <w:tcMar>
              <w:top w:w="70" w:type="dxa"/>
              <w:start w:w="90" w:type="dxa"/>
              <w:bottom w:w="70" w:type="dxa"/>
              <w:end w:w="90" w:type="dxa"/>
            </w:tcMar>
          </w:tcPr>
          <w:p>
            <w:pPr>
              <w:spacing w:after="20"/>
            </w:pPr>
            <w:r>
              <w:rPr>
                <w:b w:val="0"/>
                <w:sz w:val="17"/>
              </w:rPr>
              <w:t>Innovators / early adopters</w:t>
            </w:r>
          </w:p>
        </w:tc>
      </w:tr>
      <w:tr>
        <w:tc>
          <w:tcPr>
            <w:tcW w:type="dxa" w:w="800"/>
            <w:tcMar>
              <w:top w:w="70" w:type="dxa"/>
              <w:start w:w="90" w:type="dxa"/>
              <w:bottom w:w="70" w:type="dxa"/>
              <w:end w:w="90" w:type="dxa"/>
            </w:tcMar>
          </w:tcPr>
          <w:p>
            <w:pPr>
              <w:spacing w:after="20"/>
            </w:pPr>
            <w:r>
              <w:rPr>
                <w:b w:val="0"/>
                <w:sz w:val="17"/>
              </w:rPr>
              <w:t>L4</w:t>
            </w:r>
          </w:p>
        </w:tc>
        <w:tc>
          <w:tcPr>
            <w:tcW w:type="dxa" w:w="3000"/>
            <w:tcMar>
              <w:top w:w="70" w:type="dxa"/>
              <w:start w:w="90" w:type="dxa"/>
              <w:bottom w:w="70" w:type="dxa"/>
              <w:end w:w="90" w:type="dxa"/>
            </w:tcMar>
          </w:tcPr>
          <w:p>
            <w:pPr>
              <w:spacing w:after="20"/>
            </w:pPr>
            <w:r>
              <w:rPr>
                <w:b w:val="0"/>
                <w:sz w:val="17"/>
              </w:rPr>
              <w:t>SPS peers; NYU</w:t>
            </w:r>
          </w:p>
        </w:tc>
        <w:tc>
          <w:tcPr>
            <w:tcW w:type="dxa" w:w="4060"/>
            <w:tcMar>
              <w:top w:w="70" w:type="dxa"/>
              <w:start w:w="90" w:type="dxa"/>
              <w:bottom w:w="70" w:type="dxa"/>
              <w:end w:w="90" w:type="dxa"/>
            </w:tcMar>
          </w:tcPr>
          <w:p>
            <w:pPr>
              <w:spacing w:after="20"/>
            </w:pPr>
            <w:r>
              <w:rPr>
                <w:b w:val="0"/>
                <w:sz w:val="17"/>
              </w:rPr>
              <w:t>Small peer survey [D13, C]; Violet [D18]</w:t>
            </w:r>
          </w:p>
        </w:tc>
        <w:tc>
          <w:tcPr>
            <w:tcW w:type="dxa" w:w="2600"/>
            <w:tcMar>
              <w:top w:w="70" w:type="dxa"/>
              <w:start w:w="90" w:type="dxa"/>
              <w:bottom w:w="70" w:type="dxa"/>
              <w:end w:w="90" w:type="dxa"/>
            </w:tcMar>
          </w:tcPr>
          <w:p>
            <w:pPr>
              <w:spacing w:after="20"/>
            </w:pPr>
            <w:r>
              <w:rPr>
                <w:b w:val="0"/>
                <w:sz w:val="17"/>
              </w:rPr>
              <w:t>SPS: implementation (chatbots); knowledge (agents)</w:t>
            </w:r>
          </w:p>
        </w:tc>
      </w:tr>
    </w:tbl>
    <w:p>
      <w:pPr>
        <w:spacing w:after="40"/>
      </w:pPr>
      <w:r>
        <w:rPr>
          <w:b w:val="0"/>
          <w:sz w:val="19"/>
        </w:rPr>
        <w:t xml:space="preserve"> </w:t>
      </w:r>
    </w:p>
    <w:tbl>
      <w:tblPr>
        <w:tblStyle w:val="TableGrid"/>
        <w:tblW w:type="auto" w:w="0"/>
        <w:tblLook w:firstColumn="1" w:firstRow="1" w:lastColumn="0" w:lastRow="0" w:noHBand="0" w:noVBand="1" w:val="04A0"/>
      </w:tblPr>
      <w:tblGrid>
        <w:gridCol w:w="2613"/>
        <w:gridCol w:w="2613"/>
        <w:gridCol w:w="2613"/>
        <w:gridCol w:w="2613"/>
      </w:tblGrid>
      <w:tr>
        <w:trPr>
          <w:tblHeader w:val="true"/>
        </w:trPr>
        <w:tc>
          <w:tcPr>
            <w:tcW w:type="dxa" w:w="2200"/>
            <w:shd w:val="clear" w:color="auto" w:fill="57068C"/>
            <w:tcMar>
              <w:top w:w="70" w:type="dxa"/>
              <w:start w:w="90" w:type="dxa"/>
              <w:bottom w:w="70" w:type="dxa"/>
              <w:end w:w="90" w:type="dxa"/>
            </w:tcMar>
          </w:tcPr>
          <w:p>
            <w:pPr>
              <w:spacing w:after="20"/>
            </w:pPr>
            <w:r>
              <w:rPr>
                <w:b/>
                <w:color w:val="FFFFFF"/>
                <w:sz w:val="17"/>
              </w:rPr>
              <w:t>Rogers factor (L3b)</w:t>
            </w:r>
          </w:p>
        </w:tc>
        <w:tc>
          <w:tcPr>
            <w:tcW w:type="dxa" w:w="1700"/>
            <w:shd w:val="clear" w:color="auto" w:fill="57068C"/>
            <w:tcMar>
              <w:top w:w="70" w:type="dxa"/>
              <w:start w:w="90" w:type="dxa"/>
              <w:bottom w:w="70" w:type="dxa"/>
              <w:end w:w="90" w:type="dxa"/>
            </w:tcMar>
          </w:tcPr>
          <w:p>
            <w:pPr>
              <w:spacing w:after="20"/>
            </w:pPr>
            <w:r>
              <w:rPr>
                <w:b/>
                <w:color w:val="FFFFFF"/>
                <w:sz w:val="17"/>
              </w:rPr>
              <w:t>Rating</w:t>
            </w:r>
          </w:p>
        </w:tc>
        <w:tc>
          <w:tcPr>
            <w:tcW w:type="dxa" w:w="1800"/>
            <w:shd w:val="clear" w:color="auto" w:fill="57068C"/>
            <w:tcMar>
              <w:top w:w="70" w:type="dxa"/>
              <w:start w:w="90" w:type="dxa"/>
              <w:bottom w:w="70" w:type="dxa"/>
              <w:end w:w="90" w:type="dxa"/>
            </w:tcMar>
          </w:tcPr>
          <w:p>
            <w:pPr>
              <w:spacing w:after="20"/>
            </w:pPr>
            <w:r>
              <w:rPr>
                <w:b/>
                <w:color w:val="FFFFFF"/>
                <w:sz w:val="17"/>
              </w:rPr>
              <w:t>Observed or inferred</w:t>
            </w:r>
          </w:p>
        </w:tc>
        <w:tc>
          <w:tcPr>
            <w:tcW w:type="dxa" w:w="4760"/>
            <w:shd w:val="clear" w:color="auto" w:fill="57068C"/>
            <w:tcMar>
              <w:top w:w="70" w:type="dxa"/>
              <w:start w:w="90" w:type="dxa"/>
              <w:bottom w:w="70" w:type="dxa"/>
              <w:end w:w="90" w:type="dxa"/>
            </w:tcMar>
          </w:tcPr>
          <w:p>
            <w:pPr>
              <w:spacing w:after="20"/>
            </w:pPr>
            <w:r>
              <w:rPr>
                <w:b/>
                <w:color w:val="FFFFFF"/>
                <w:sz w:val="17"/>
              </w:rPr>
              <w:t>Basis</w:t>
            </w:r>
          </w:p>
        </w:tc>
      </w:tr>
      <w:tr>
        <w:tc>
          <w:tcPr>
            <w:tcW w:type="dxa" w:w="2200"/>
            <w:tcMar>
              <w:top w:w="70" w:type="dxa"/>
              <w:start w:w="90" w:type="dxa"/>
              <w:bottom w:w="70" w:type="dxa"/>
              <w:end w:w="90" w:type="dxa"/>
            </w:tcMar>
          </w:tcPr>
          <w:p>
            <w:pPr>
              <w:spacing w:after="20"/>
            </w:pPr>
            <w:r>
              <w:rPr>
                <w:b w:val="0"/>
                <w:sz w:val="17"/>
              </w:rPr>
              <w:t>Relative advantage</w:t>
            </w:r>
          </w:p>
        </w:tc>
        <w:tc>
          <w:tcPr>
            <w:tcW w:type="dxa" w:w="1700"/>
            <w:tcMar>
              <w:top w:w="70" w:type="dxa"/>
              <w:start w:w="90" w:type="dxa"/>
              <w:bottom w:w="70" w:type="dxa"/>
              <w:end w:w="90" w:type="dxa"/>
            </w:tcMar>
          </w:tcPr>
          <w:p>
            <w:pPr>
              <w:spacing w:after="20"/>
            </w:pPr>
            <w:r>
              <w:rPr>
                <w:b w:val="0"/>
                <w:sz w:val="17"/>
              </w:rPr>
              <w:t>Unproven</w:t>
            </w:r>
          </w:p>
        </w:tc>
        <w:tc>
          <w:tcPr>
            <w:tcW w:type="dxa" w:w="1800"/>
            <w:tcMar>
              <w:top w:w="70" w:type="dxa"/>
              <w:start w:w="90" w:type="dxa"/>
              <w:bottom w:w="70" w:type="dxa"/>
              <w:end w:w="90" w:type="dxa"/>
            </w:tcMar>
          </w:tcPr>
          <w:p>
            <w:pPr>
              <w:spacing w:after="20"/>
            </w:pPr>
            <w:r>
              <w:rPr>
                <w:b w:val="0"/>
                <w:sz w:val="17"/>
              </w:rPr>
              <w:t>Inferred</w:t>
            </w:r>
          </w:p>
        </w:tc>
        <w:tc>
          <w:tcPr>
            <w:tcW w:type="dxa" w:w="4760"/>
            <w:tcMar>
              <w:top w:w="70" w:type="dxa"/>
              <w:start w:w="90" w:type="dxa"/>
              <w:bottom w:w="70" w:type="dxa"/>
              <w:end w:w="90" w:type="dxa"/>
            </w:tcMar>
          </w:tcPr>
          <w:p>
            <w:pPr>
              <w:spacing w:after="20"/>
            </w:pPr>
            <w:r>
              <w:rPr>
                <w:b w:val="0"/>
                <w:sz w:val="17"/>
              </w:rPr>
              <w:t>Only vendor projections [D14]</w:t>
            </w:r>
          </w:p>
        </w:tc>
      </w:tr>
      <w:tr>
        <w:tc>
          <w:tcPr>
            <w:tcW w:type="dxa" w:w="2200"/>
            <w:tcMar>
              <w:top w:w="70" w:type="dxa"/>
              <w:start w:w="90" w:type="dxa"/>
              <w:bottom w:w="70" w:type="dxa"/>
              <w:end w:w="90" w:type="dxa"/>
            </w:tcMar>
          </w:tcPr>
          <w:p>
            <w:pPr>
              <w:spacing w:after="20"/>
            </w:pPr>
            <w:r>
              <w:rPr>
                <w:b w:val="0"/>
                <w:sz w:val="17"/>
              </w:rPr>
              <w:t>Compatibility</w:t>
            </w:r>
          </w:p>
        </w:tc>
        <w:tc>
          <w:tcPr>
            <w:tcW w:type="dxa" w:w="1700"/>
            <w:tcMar>
              <w:top w:w="70" w:type="dxa"/>
              <w:start w:w="90" w:type="dxa"/>
              <w:bottom w:w="70" w:type="dxa"/>
              <w:end w:w="90" w:type="dxa"/>
            </w:tcMar>
          </w:tcPr>
          <w:p>
            <w:pPr>
              <w:spacing w:after="20"/>
            </w:pPr>
            <w:r>
              <w:rPr>
                <w:b w:val="0"/>
                <w:sz w:val="17"/>
              </w:rPr>
              <w:t>Mixed</w:t>
            </w:r>
          </w:p>
        </w:tc>
        <w:tc>
          <w:tcPr>
            <w:tcW w:type="dxa" w:w="1800"/>
            <w:tcMar>
              <w:top w:w="70" w:type="dxa"/>
              <w:start w:w="90" w:type="dxa"/>
              <w:bottom w:w="70" w:type="dxa"/>
              <w:end w:w="90" w:type="dxa"/>
            </w:tcMar>
          </w:tcPr>
          <w:p>
            <w:pPr>
              <w:spacing w:after="20"/>
            </w:pPr>
            <w:r>
              <w:rPr>
                <w:b w:val="0"/>
                <w:sz w:val="17"/>
              </w:rPr>
              <w:t>Observed</w:t>
            </w:r>
          </w:p>
        </w:tc>
        <w:tc>
          <w:tcPr>
            <w:tcW w:type="dxa" w:w="4760"/>
            <w:tcMar>
              <w:top w:w="70" w:type="dxa"/>
              <w:start w:w="90" w:type="dxa"/>
              <w:bottom w:w="70" w:type="dxa"/>
              <w:end w:w="90" w:type="dxa"/>
            </w:tcMar>
          </w:tcPr>
          <w:p>
            <w:pPr>
              <w:spacing w:after="20"/>
            </w:pPr>
            <w:r>
              <w:rPr>
                <w:b w:val="0"/>
                <w:sz w:val="17"/>
              </w:rPr>
              <w:t>Channel exists [D17, D18]; privacy top barrier 56% [D11]; 9% policies adequate [D12]</w:t>
            </w:r>
          </w:p>
        </w:tc>
      </w:tr>
      <w:tr>
        <w:tc>
          <w:tcPr>
            <w:tcW w:type="dxa" w:w="2200"/>
            <w:tcMar>
              <w:top w:w="70" w:type="dxa"/>
              <w:start w:w="90" w:type="dxa"/>
              <w:bottom w:w="70" w:type="dxa"/>
              <w:end w:w="90" w:type="dxa"/>
            </w:tcMar>
          </w:tcPr>
          <w:p>
            <w:pPr>
              <w:spacing w:after="20"/>
            </w:pPr>
            <w:r>
              <w:rPr>
                <w:b w:val="0"/>
                <w:sz w:val="17"/>
              </w:rPr>
              <w:t>Complexity</w:t>
            </w:r>
          </w:p>
        </w:tc>
        <w:tc>
          <w:tcPr>
            <w:tcW w:type="dxa" w:w="1700"/>
            <w:tcMar>
              <w:top w:w="70" w:type="dxa"/>
              <w:start w:w="90" w:type="dxa"/>
              <w:bottom w:w="70" w:type="dxa"/>
              <w:end w:w="90" w:type="dxa"/>
            </w:tcMar>
          </w:tcPr>
          <w:p>
            <w:pPr>
              <w:spacing w:after="20"/>
            </w:pPr>
            <w:r>
              <w:rPr>
                <w:b w:val="0"/>
                <w:sz w:val="17"/>
              </w:rPr>
              <w:t>Moderate-high</w:t>
            </w:r>
          </w:p>
        </w:tc>
        <w:tc>
          <w:tcPr>
            <w:tcW w:type="dxa" w:w="1800"/>
            <w:tcMar>
              <w:top w:w="70" w:type="dxa"/>
              <w:start w:w="90" w:type="dxa"/>
              <w:bottom w:w="70" w:type="dxa"/>
              <w:end w:w="90" w:type="dxa"/>
            </w:tcMar>
          </w:tcPr>
          <w:p>
            <w:pPr>
              <w:spacing w:after="20"/>
            </w:pPr>
            <w:r>
              <w:rPr>
                <w:b w:val="0"/>
                <w:sz w:val="17"/>
              </w:rPr>
              <w:t>Inferred</w:t>
            </w:r>
          </w:p>
        </w:tc>
        <w:tc>
          <w:tcPr>
            <w:tcW w:type="dxa" w:w="4760"/>
            <w:tcMar>
              <w:top w:w="70" w:type="dxa"/>
              <w:start w:w="90" w:type="dxa"/>
              <w:bottom w:w="70" w:type="dxa"/>
              <w:end w:w="90" w:type="dxa"/>
            </w:tcMar>
          </w:tcPr>
          <w:p>
            <w:pPr>
              <w:spacing w:after="20"/>
            </w:pPr>
            <w:r>
              <w:rPr>
                <w:b w:val="0"/>
                <w:sz w:val="17"/>
              </w:rPr>
              <w:t>Permissions, CRM integration, approval</w:t>
            </w:r>
          </w:p>
        </w:tc>
      </w:tr>
      <w:tr>
        <w:tc>
          <w:tcPr>
            <w:tcW w:type="dxa" w:w="2200"/>
            <w:tcMar>
              <w:top w:w="70" w:type="dxa"/>
              <w:start w:w="90" w:type="dxa"/>
              <w:bottom w:w="70" w:type="dxa"/>
              <w:end w:w="90" w:type="dxa"/>
            </w:tcMar>
          </w:tcPr>
          <w:p>
            <w:pPr>
              <w:spacing w:after="20"/>
            </w:pPr>
            <w:r>
              <w:rPr>
                <w:b w:val="0"/>
                <w:sz w:val="17"/>
              </w:rPr>
              <w:t>Trialability</w:t>
            </w:r>
          </w:p>
        </w:tc>
        <w:tc>
          <w:tcPr>
            <w:tcW w:type="dxa" w:w="1700"/>
            <w:tcMar>
              <w:top w:w="70" w:type="dxa"/>
              <w:start w:w="90" w:type="dxa"/>
              <w:bottom w:w="70" w:type="dxa"/>
              <w:end w:w="90" w:type="dxa"/>
            </w:tcMar>
          </w:tcPr>
          <w:p>
            <w:pPr>
              <w:spacing w:after="20"/>
            </w:pPr>
            <w:r>
              <w:rPr>
                <w:b w:val="0"/>
                <w:sz w:val="17"/>
              </w:rPr>
              <w:t>High</w:t>
            </w:r>
          </w:p>
        </w:tc>
        <w:tc>
          <w:tcPr>
            <w:tcW w:type="dxa" w:w="1800"/>
            <w:tcMar>
              <w:top w:w="70" w:type="dxa"/>
              <w:start w:w="90" w:type="dxa"/>
              <w:bottom w:w="70" w:type="dxa"/>
              <w:end w:w="90" w:type="dxa"/>
            </w:tcMar>
          </w:tcPr>
          <w:p>
            <w:pPr>
              <w:spacing w:after="20"/>
            </w:pPr>
            <w:r>
              <w:rPr>
                <w:b w:val="0"/>
                <w:sz w:val="17"/>
              </w:rPr>
              <w:t>Observed</w:t>
            </w:r>
          </w:p>
        </w:tc>
        <w:tc>
          <w:tcPr>
            <w:tcW w:type="dxa" w:w="4760"/>
            <w:tcMar>
              <w:top w:w="70" w:type="dxa"/>
              <w:start w:w="90" w:type="dxa"/>
              <w:bottom w:w="70" w:type="dxa"/>
              <w:end w:w="90" w:type="dxa"/>
            </w:tcMar>
          </w:tcPr>
          <w:p>
            <w:pPr>
              <w:spacing w:after="20"/>
            </w:pPr>
            <w:r>
              <w:rPr>
                <w:b w:val="0"/>
                <w:sz w:val="17"/>
              </w:rPr>
              <w:t>Pre-built skills [D15]; MCP, A2A [D9, D10]</w:t>
            </w:r>
          </w:p>
        </w:tc>
      </w:tr>
      <w:tr>
        <w:tc>
          <w:tcPr>
            <w:tcW w:type="dxa" w:w="2200"/>
            <w:tcMar>
              <w:top w:w="70" w:type="dxa"/>
              <w:start w:w="90" w:type="dxa"/>
              <w:bottom w:w="70" w:type="dxa"/>
              <w:end w:w="90" w:type="dxa"/>
            </w:tcMar>
          </w:tcPr>
          <w:p>
            <w:pPr>
              <w:spacing w:after="20"/>
            </w:pPr>
            <w:r>
              <w:rPr>
                <w:b w:val="0"/>
                <w:sz w:val="17"/>
              </w:rPr>
              <w:t>Observability</w:t>
            </w:r>
          </w:p>
        </w:tc>
        <w:tc>
          <w:tcPr>
            <w:tcW w:type="dxa" w:w="1700"/>
            <w:tcMar>
              <w:top w:w="70" w:type="dxa"/>
              <w:start w:w="90" w:type="dxa"/>
              <w:bottom w:w="70" w:type="dxa"/>
              <w:end w:w="90" w:type="dxa"/>
            </w:tcMar>
          </w:tcPr>
          <w:p>
            <w:pPr>
              <w:spacing w:after="20"/>
            </w:pPr>
            <w:r>
              <w:rPr>
                <w:b w:val="0"/>
                <w:sz w:val="17"/>
              </w:rPr>
              <w:t>Low (matters most)</w:t>
            </w:r>
          </w:p>
        </w:tc>
        <w:tc>
          <w:tcPr>
            <w:tcW w:type="dxa" w:w="1800"/>
            <w:tcMar>
              <w:top w:w="70" w:type="dxa"/>
              <w:start w:w="90" w:type="dxa"/>
              <w:bottom w:w="70" w:type="dxa"/>
              <w:end w:w="90" w:type="dxa"/>
            </w:tcMar>
          </w:tcPr>
          <w:p>
            <w:pPr>
              <w:spacing w:after="20"/>
            </w:pPr>
            <w:r>
              <w:rPr>
                <w:b w:val="0"/>
                <w:sz w:val="17"/>
              </w:rPr>
              <w:t>Observed</w:t>
            </w:r>
          </w:p>
        </w:tc>
        <w:tc>
          <w:tcPr>
            <w:tcW w:type="dxa" w:w="4760"/>
            <w:tcMar>
              <w:top w:w="70" w:type="dxa"/>
              <w:start w:w="90" w:type="dxa"/>
              <w:bottom w:w="70" w:type="dxa"/>
              <w:end w:w="90" w:type="dxa"/>
            </w:tcMar>
          </w:tcPr>
          <w:p>
            <w:pPr>
              <w:spacing w:after="20"/>
            </w:pPr>
            <w:r>
              <w:rPr>
                <w:b w:val="0"/>
                <w:sz w:val="17"/>
              </w:rPr>
              <w:t>No published peer outcomes [D14, D16]</w:t>
            </w:r>
          </w:p>
        </w:tc>
      </w:tr>
    </w:tbl>
    <w:p>
      <w:pPr>
        <w:spacing w:after="60"/>
      </w:pPr>
      <w:r>
        <w:rPr>
          <w:b w:val="0"/>
          <w:sz w:val="19"/>
        </w:rPr>
        <w:t>Attention signals (hype peak [D6], vendor launches [D15], standards news [D9, D10], forecasts [D7], projections [D14]) are kept separate from adoption measures [D1, D2, D4, D11]. Full tables: records/diffusion_factor_assessment.md; weak claim: records/weak_claim.md.</w:t>
      </w:r>
    </w:p>
    <w:p>
      <w:pPr>
        <w:pStyle w:val="Heading1"/>
      </w:pPr>
      <w:r>
        <w:t>Appendix B. Sources, grades and evidence boundaries</w:t>
      </w:r>
    </w:p>
    <w:p>
      <w:pPr>
        <w:spacing w:after="60"/>
      </w:pPr>
      <w:r>
        <w:rPr>
          <w:b w:val="0"/>
          <w:sz w:val="19"/>
        </w:rPr>
        <w:t>Grades: A = representative and recent; B = credible but partial; C = cannot set a stage. External sources were opened on October 25, 2026, unless another date is shown.</w:t>
      </w:r>
    </w:p>
    <w:p>
      <w:pPr>
        <w:spacing w:after="50"/>
      </w:pPr>
      <w:r>
        <w:rPr>
          <w:b/>
          <w:sz w:val="17"/>
        </w:rPr>
        <w:t xml:space="preserve">[C1] Andres Fortino (course deck, user-supplied). The Diffusion of Emerging Technologies (Module 6 deck). FA25 deck; inspected 2026-10-25. </w:t>
      </w:r>
      <w:r>
        <w:rPr>
          <w:b w:val="0"/>
          <w:sz w:val="17"/>
        </w:rPr>
        <w:t>Course material; not republished</w:t>
      </w:r>
    </w:p>
    <w:p>
      <w:pPr>
        <w:spacing w:after="90"/>
      </w:pPr>
      <w:r>
        <w:rPr>
          <w:b/>
          <w:sz w:val="17"/>
        </w:rPr>
        <w:t xml:space="preserve">Use: </w:t>
      </w:r>
      <w:r>
        <w:rPr>
          <w:b w:val="0"/>
          <w:sz w:val="17"/>
        </w:rPr>
        <w:t xml:space="preserve">Rogers' adopter categories (2.5/13.5/34/34/16%), five factors, stages, roles; take-off at critical mass of about 16% ('crosses the chasm'); 'Adopt early only if high pay-off in a short time and willing to abandon it'; 'track ... adoption patterns and only adopt after the technology has crossed'; vendor messaging moving from 'This is new' to 'This is useful' signals crossing. Slide 74 frames the team project around NYU SPS and agentic AI recruiting agents. </w:t>
      </w:r>
      <w:r>
        <w:rPr>
          <w:b/>
          <w:sz w:val="17"/>
        </w:rPr>
        <w:t xml:space="preserve">Limit: </w:t>
      </w:r>
      <w:r>
        <w:rPr>
          <w:b w:val="0"/>
          <w:sz w:val="17"/>
        </w:rPr>
        <w:t>Any measurement of agentic AI. The deck is the FA25 version supplied by the student.</w:t>
      </w:r>
    </w:p>
    <w:p>
      <w:pPr>
        <w:spacing w:after="50"/>
      </w:pPr>
      <w:r>
        <w:rPr>
          <w:b/>
          <w:sz w:val="17"/>
        </w:rPr>
        <w:t xml:space="preserve">[C2] Andres Fortino (course deck, user-supplied). ET Promethean Technologies FA26, Prep Lab 6. FA26; inspected 2026-10-25. </w:t>
      </w:r>
      <w:r>
        <w:rPr>
          <w:b w:val="0"/>
          <w:sz w:val="17"/>
        </w:rPr>
        <w:t>Course material; not republished</w:t>
      </w:r>
    </w:p>
    <w:p>
      <w:pPr>
        <w:spacing w:after="90"/>
      </w:pPr>
      <w:r>
        <w:rPr>
          <w:b/>
          <w:sz w:val="17"/>
        </w:rPr>
        <w:t xml:space="preserve">Use: </w:t>
      </w:r>
      <w:r>
        <w:rPr>
          <w:b w:val="0"/>
          <w:sz w:val="17"/>
        </w:rPr>
        <w:t xml:space="preserve">Prep Lab 6: place the technology tentatively on the adoption curve and state the evidence; 'Distinguish evidence that a technology is actually diffusing from evidence that it is merely receiving attention, investment, or publicity.' </w:t>
      </w:r>
      <w:r>
        <w:rPr>
          <w:b/>
          <w:sz w:val="17"/>
        </w:rPr>
        <w:t xml:space="preserve">Limit: </w:t>
      </w:r>
      <w:r>
        <w:rPr>
          <w:b w:val="0"/>
          <w:sz w:val="17"/>
        </w:rPr>
        <w:t>Case-specific conclusions.</w:t>
      </w:r>
    </w:p>
    <w:p>
      <w:pPr>
        <w:spacing w:after="50"/>
      </w:pPr>
      <w:r>
        <w:rPr>
          <w:b/>
          <w:sz w:val="17"/>
        </w:rPr>
        <w:t xml:space="preserve">[C3] Minghan Liu. Assignments 3-4 specialist outputs (Innovation and Disruption; Promethean Classification). 2026-10-11; 2026-10-18. </w:t>
      </w:r>
      <w:r>
        <w:rPr>
          <w:b w:val="0"/>
          <w:sz w:val="17"/>
        </w:rPr>
        <w:t>https://github.com/lmh04250425/MASY1800-agents/tree/assignment-4-promethean-classification</w:t>
      </w:r>
    </w:p>
    <w:p>
      <w:pPr>
        <w:spacing w:after="90"/>
      </w:pPr>
      <w:r>
        <w:rPr>
          <w:b/>
          <w:sz w:val="17"/>
        </w:rPr>
        <w:t xml:space="preserve">Use: </w:t>
      </w:r>
      <w:r>
        <w:rPr>
          <w:b w:val="0"/>
          <w:sz w:val="17"/>
        </w:rPr>
        <w:t xml:space="preserve">A3: the SPS proposal is a proposed incremental, sustaining process innovation; compare staff-only, simple retrieval and the proposed agent before any pilot. A4: agentic AI is a Breakthrough with an UNRESOLVED Potential-Promethean candidacy; its broad significance should carry Low weight in SPS's present decision. </w:t>
      </w:r>
      <w:r>
        <w:rPr>
          <w:b/>
          <w:sz w:val="17"/>
        </w:rPr>
        <w:t xml:space="preserve">Limit: </w:t>
      </w:r>
      <w:r>
        <w:rPr>
          <w:b w:val="0"/>
          <w:sz w:val="17"/>
        </w:rPr>
        <w:t>Independent evidence; prior AI-assisted student analyses used for continuity.</w:t>
      </w:r>
    </w:p>
    <w:p>
      <w:pPr>
        <w:spacing w:after="50"/>
      </w:pPr>
      <w:r>
        <w:rPr>
          <w:b/>
          <w:sz w:val="17"/>
        </w:rPr>
        <w:t xml:space="preserve">[D1] Pew Research Center (Sidoti and McClain). 34% of U.S. adults have used ChatGPT, about double the share in 2023. 2025-06-25; survey 2025-02-24 to 2025-03-02, n=5,123. [grade A] </w:t>
      </w:r>
      <w:r>
        <w:rPr>
          <w:b w:val="0"/>
          <w:sz w:val="17"/>
        </w:rPr>
        <w:t>https://www.pewresearch.org/short-reads/2025/06/25/34-of-us-adults-have-used-chatgpt-about-double-the-share-in-2023/</w:t>
      </w:r>
    </w:p>
    <w:p>
      <w:pPr>
        <w:spacing w:after="90"/>
      </w:pPr>
      <w:r>
        <w:rPr>
          <w:b/>
          <w:sz w:val="17"/>
        </w:rPr>
        <w:t xml:space="preserve">Use: </w:t>
      </w:r>
      <w:r>
        <w:rPr>
          <w:b w:val="0"/>
          <w:sz w:val="17"/>
        </w:rPr>
        <w:t xml:space="preserve">34% of U.S. adults have ever used ChatGPT (58% of adults under 30); 28% of employed adults have used it for work, up 20 points since 2023. </w:t>
      </w:r>
      <w:r>
        <w:rPr>
          <w:b/>
          <w:sz w:val="17"/>
        </w:rPr>
        <w:t xml:space="preserve">Limit: </w:t>
      </w:r>
      <w:r>
        <w:rPr>
          <w:b w:val="0"/>
          <w:sz w:val="17"/>
        </w:rPr>
        <w:t>Agents; organizational use; 'ever used' is not regular use.</w:t>
      </w:r>
    </w:p>
    <w:p>
      <w:pPr>
        <w:spacing w:after="50"/>
      </w:pPr>
      <w:r>
        <w:rPr>
          <w:b/>
          <w:sz w:val="17"/>
        </w:rPr>
        <w:t xml:space="preserve">[D2] Alexander Bick, Adam Blandin, David J. Deming. The Rapid Adoption of Generative AI. NBER WP 32966 (2024-09; rev. 2025-02); Management Science 72(10) (2026). [grade A] </w:t>
      </w:r>
      <w:r>
        <w:rPr>
          <w:b w:val="0"/>
          <w:sz w:val="17"/>
        </w:rPr>
        <w:t>https://www.nber.org/papers/w32966</w:t>
      </w:r>
    </w:p>
    <w:p>
      <w:pPr>
        <w:spacing w:after="90"/>
      </w:pPr>
      <w:r>
        <w:rPr>
          <w:b/>
          <w:sz w:val="17"/>
        </w:rPr>
        <w:t xml:space="preserve">Use: </w:t>
      </w:r>
      <w:r>
        <w:rPr>
          <w:b w:val="0"/>
          <w:sz w:val="17"/>
        </w:rPr>
        <w:t xml:space="preserve">Nearly 40% of U.S. adults 18-64 use generative AI; adoption faster than PCs and the internet; generative AI assists only 1-5% of all work hours. </w:t>
      </w:r>
      <w:r>
        <w:rPr>
          <w:b/>
          <w:sz w:val="17"/>
        </w:rPr>
        <w:t xml:space="preserve">Limit: </w:t>
      </w:r>
      <w:r>
        <w:rPr>
          <w:b w:val="0"/>
          <w:sz w:val="17"/>
        </w:rPr>
        <w:t>Agents; organizations; late-2024 data.</w:t>
      </w:r>
    </w:p>
    <w:p>
      <w:pPr>
        <w:spacing w:after="50"/>
      </w:pPr>
      <w:r>
        <w:rPr>
          <w:b/>
          <w:sz w:val="17"/>
        </w:rPr>
        <w:t xml:space="preserve">[D3] Microsoft AI Economy Institute. Microsoft AI Diffusion Report 2025 H2. 2026-01. [grade B] </w:t>
      </w:r>
      <w:r>
        <w:rPr>
          <w:b w:val="0"/>
          <w:sz w:val="17"/>
        </w:rPr>
        <w:t>https://www.microsoft.com/en-us/research/wp-content/uploads/2026/01/Microsoft-AI-Diffusion-Report-2025-H2.pdf</w:t>
      </w:r>
    </w:p>
    <w:p>
      <w:pPr>
        <w:spacing w:after="90"/>
      </w:pPr>
      <w:r>
        <w:rPr>
          <w:b/>
          <w:sz w:val="17"/>
        </w:rPr>
        <w:t xml:space="preserve">Use: </w:t>
      </w:r>
      <w:r>
        <w:rPr>
          <w:b w:val="0"/>
          <w:sz w:val="17"/>
        </w:rPr>
        <w:t xml:space="preserve">Generative AI used by 16.3% of the world's population in H2 2025; 24.7% of the working-age population in the Global North vs 14.1% in the Global South; U.S. 28.3% (rank 24); UAE 64.0%, Singapore 60.9%. </w:t>
      </w:r>
      <w:r>
        <w:rPr>
          <w:b/>
          <w:sz w:val="17"/>
        </w:rPr>
        <w:t xml:space="preserve">Limit: </w:t>
      </w:r>
      <w:r>
        <w:rPr>
          <w:b w:val="0"/>
          <w:sz w:val="17"/>
        </w:rPr>
        <w:t>Agents; organizations. Vendor telemetry with adjustments; differs in definition from D1 and D2. Country figures do not transfer to a U.S. peer group.</w:t>
      </w:r>
    </w:p>
    <w:p>
      <w:pPr>
        <w:spacing w:after="50"/>
      </w:pPr>
      <w:r>
        <w:rPr>
          <w:b/>
          <w:sz w:val="17"/>
        </w:rPr>
        <w:t xml:space="preserve">[D4] U.S. Census Bureau (Grundy, Breaux, Khatiwoda). Large Firms With at Least 20 Employees Biggest AI Users. 2026-05-26; BTOS period ending 2026-05-03. [grade A] </w:t>
      </w:r>
      <w:r>
        <w:rPr>
          <w:b w:val="0"/>
          <w:sz w:val="17"/>
        </w:rPr>
        <w:t>https://census.gov/library/stories/2026/05/ai-use-businesses.html</w:t>
      </w:r>
    </w:p>
    <w:p>
      <w:pPr>
        <w:spacing w:after="90"/>
      </w:pPr>
      <w:r>
        <w:rPr>
          <w:b/>
          <w:sz w:val="17"/>
        </w:rPr>
        <w:t xml:space="preserve">Use: </w:t>
      </w:r>
      <w:r>
        <w:rPr>
          <w:b w:val="0"/>
          <w:sz w:val="17"/>
        </w:rPr>
        <w:t xml:space="preserve">19.8% of U.S. businesses reported using AI in any business function in the last two weeks; 17-20% from December 2025 to May 2026; 37% of firms with 250+ employees; Information sector 39.7%. Question broadened in November 2025 from 'producing goods or services' to 'any business function'. </w:t>
      </w:r>
      <w:r>
        <w:rPr>
          <w:b/>
          <w:sz w:val="17"/>
        </w:rPr>
        <w:t xml:space="preserve">Limit: </w:t>
      </w:r>
      <w:r>
        <w:rPr>
          <w:b w:val="0"/>
          <w:sz w:val="17"/>
        </w:rPr>
        <w:t>Agents specifically; educational services not reported. Earlier BTOS figures are not directly comparable.</w:t>
      </w:r>
    </w:p>
    <w:p>
      <w:pPr>
        <w:spacing w:after="50"/>
      </w:pPr>
      <w:r>
        <w:rPr>
          <w:b/>
          <w:sz w:val="17"/>
        </w:rPr>
        <w:t xml:space="preserve">[D5] McKinsey &amp; Company. The state of AI in 2025: Agents, innovation, and transformation. 2025-11-05; survey 2025-06-25 to 2025-07-29, n=1,993 in 105 nations. [grade B] </w:t>
      </w:r>
      <w:r>
        <w:rPr>
          <w:b w:val="0"/>
          <w:sz w:val="17"/>
        </w:rPr>
        <w:t>https://www.mckinsey.com/capabilities/tech-and-ai/our-insights/the-state-of-ai-2025</w:t>
      </w:r>
    </w:p>
    <w:p>
      <w:pPr>
        <w:spacing w:after="90"/>
      </w:pPr>
      <w:r>
        <w:rPr>
          <w:b/>
          <w:sz w:val="17"/>
        </w:rPr>
        <w:t xml:space="preserve">Use: </w:t>
      </w:r>
      <w:r>
        <w:rPr>
          <w:b w:val="0"/>
          <w:sz w:val="17"/>
        </w:rPr>
        <w:t xml:space="preserve">88% report regular AI use in at least one function; 23% report their organizations are scaling an agentic AI system somewhere; 39% are experimenting with agents; in any given function no more than 10% report scaling agents; agent use most reported in tech/media/telecom and healthcare. </w:t>
      </w:r>
      <w:r>
        <w:rPr>
          <w:b/>
          <w:sz w:val="17"/>
        </w:rPr>
        <w:t xml:space="preserve">Limit: </w:t>
      </w:r>
      <w:r>
        <w:rPr>
          <w:b w:val="0"/>
          <w:sz w:val="17"/>
        </w:rPr>
        <w:t>Representativeness: an online survey across company sizes (38% of respondents at firms with more than $1 billion revenue), weighted by national GDP, not a census of firms; 'agentic' is self-defined by respondents; higher education not reported.</w:t>
      </w:r>
    </w:p>
    <w:p>
      <w:pPr>
        <w:spacing w:after="50"/>
      </w:pPr>
      <w:r>
        <w:rPr>
          <w:b/>
          <w:sz w:val="17"/>
        </w:rPr>
        <w:t xml:space="preserve">[D6] Gartner (via Business Wire). Gartner Hype Cycle Identifies Top AI Innovations in 2025. 2025-08. [grade B] </w:t>
      </w:r>
      <w:r>
        <w:rPr>
          <w:b w:val="0"/>
          <w:sz w:val="17"/>
        </w:rPr>
        <w:t>https://www.businesswire.com/news/home/20250808070139/en</w:t>
      </w:r>
    </w:p>
    <w:p>
      <w:pPr>
        <w:spacing w:after="90"/>
      </w:pPr>
      <w:r>
        <w:rPr>
          <w:b/>
          <w:sz w:val="17"/>
        </w:rPr>
        <w:t xml:space="preserve">Use: </w:t>
      </w:r>
      <w:r>
        <w:rPr>
          <w:b w:val="0"/>
          <w:sz w:val="17"/>
        </w:rPr>
        <w:t xml:space="preserve">AI agents placed at the Peak of Inflated Expectations on the 2025 Hype Cycle for AI. </w:t>
      </w:r>
      <w:r>
        <w:rPr>
          <w:b/>
          <w:sz w:val="17"/>
        </w:rPr>
        <w:t xml:space="preserve">Limit: </w:t>
      </w:r>
      <w:r>
        <w:rPr>
          <w:b w:val="0"/>
          <w:sz w:val="17"/>
        </w:rPr>
        <w:t>Measured adoption. A hype position describes attention and expectations, not diffusion.</w:t>
      </w:r>
    </w:p>
    <w:p>
      <w:pPr>
        <w:spacing w:after="50"/>
      </w:pPr>
      <w:r>
        <w:rPr>
          <w:b/>
          <w:sz w:val="17"/>
        </w:rPr>
        <w:t xml:space="preserve">[D7] Gartner. Gartner Predicts Over 40% of Agentic AI Projects Will Be Canceled by End of 2027. 2025-06-25. [grade B] </w:t>
      </w:r>
      <w:r>
        <w:rPr>
          <w:b w:val="0"/>
          <w:sz w:val="17"/>
        </w:rPr>
        <w:t>https://www.gartner.com/en/newsroom/press-releases/2025-06-25-gartner-predicts-over-40-percent-of-agentic-ai-projects-will-be-canceled-by-end-of-2027.</w:t>
      </w:r>
    </w:p>
    <w:p>
      <w:pPr>
        <w:spacing w:after="90"/>
      </w:pPr>
      <w:r>
        <w:rPr>
          <w:b/>
          <w:sz w:val="17"/>
        </w:rPr>
        <w:t xml:space="preserve">Use: </w:t>
      </w:r>
      <w:r>
        <w:rPr>
          <w:b w:val="0"/>
          <w:sz w:val="17"/>
        </w:rPr>
        <w:t xml:space="preserve">January 2025 poll of 3,412 webinar attendees: 19% significant agentic AI investment, 42% conservative, 31% wait-and-see; over 40% of agentic projects forecast to be cancelled by end-2027; only about 130 of thousands of 'agentic AI' vendors judged real ('agent washing'). </w:t>
      </w:r>
      <w:r>
        <w:rPr>
          <w:b/>
          <w:sz w:val="17"/>
        </w:rPr>
        <w:t xml:space="preserve">Limit: </w:t>
      </w:r>
      <w:r>
        <w:rPr>
          <w:b w:val="0"/>
          <w:sz w:val="17"/>
        </w:rPr>
        <w:t>Measured adoption; the poll is self-selected.</w:t>
      </w:r>
    </w:p>
    <w:p>
      <w:pPr>
        <w:spacing w:after="50"/>
      </w:pPr>
      <w:r>
        <w:rPr>
          <w:b/>
          <w:sz w:val="17"/>
        </w:rPr>
        <w:t xml:space="preserve">[D8] Stack Overflow. Stack Overflow 2025 Developer Survey press release. 2025-07-29. [grade B] </w:t>
      </w:r>
      <w:r>
        <w:rPr>
          <w:b w:val="0"/>
          <w:sz w:val="17"/>
        </w:rPr>
        <w:t>https://stackoverflow.co/company/press/archive/stack-overflow-2025-developer-survey/</w:t>
      </w:r>
    </w:p>
    <w:p>
      <w:pPr>
        <w:spacing w:after="90"/>
      </w:pPr>
      <w:r>
        <w:rPr>
          <w:b/>
          <w:sz w:val="17"/>
        </w:rPr>
        <w:t xml:space="preserve">Use: </w:t>
      </w:r>
      <w:r>
        <w:rPr>
          <w:b w:val="0"/>
          <w:sz w:val="17"/>
        </w:rPr>
        <w:t xml:space="preserve">84% of developers use or plan to use AI tools; 31% currently use AI agents, 17% plan to, 38% do not plan to; 46% distrust AI output accuracy. </w:t>
      </w:r>
      <w:r>
        <w:rPr>
          <w:b/>
          <w:sz w:val="17"/>
        </w:rPr>
        <w:t xml:space="preserve">Limit: </w:t>
      </w:r>
      <w:r>
        <w:rPr>
          <w:b w:val="0"/>
          <w:sz w:val="17"/>
        </w:rPr>
        <w:t>Any non-software occupation; developers are lead users, not a proxy for admissions offices.</w:t>
      </w:r>
    </w:p>
    <w:p>
      <w:pPr>
        <w:spacing w:after="50"/>
      </w:pPr>
      <w:r>
        <w:rPr>
          <w:b/>
          <w:sz w:val="17"/>
        </w:rPr>
        <w:t xml:space="preserve">[D9] Anthropic. Donating the Model Context Protocol and establishing the Agentic AI Foundation. 2025-12-09. [grade B] </w:t>
      </w:r>
      <w:r>
        <w:rPr>
          <w:b w:val="0"/>
          <w:sz w:val="17"/>
        </w:rPr>
        <w:t>https://www.anthropic.com/news/donating-the-model-context-protocol-and-establishing-of-the-agentic-ai-foundation</w:t>
      </w:r>
    </w:p>
    <w:p>
      <w:pPr>
        <w:spacing w:after="90"/>
      </w:pPr>
      <w:r>
        <w:rPr>
          <w:b/>
          <w:sz w:val="17"/>
        </w:rPr>
        <w:t xml:space="preserve">Use: </w:t>
      </w:r>
      <w:r>
        <w:rPr>
          <w:b w:val="0"/>
          <w:sz w:val="17"/>
        </w:rPr>
        <w:t xml:space="preserve">MCP moved to the Linux Foundation's Agentic AI Foundation (co-founded by Anthropic, Block, OpenAI); 10,000+ active public MCP servers; adopted by ChatGPT, Cursor, Gemini, Microsoft Copilot, VS Code: a standards/ecosystem accelerator. </w:t>
      </w:r>
      <w:r>
        <w:rPr>
          <w:b/>
          <w:sz w:val="17"/>
        </w:rPr>
        <w:t xml:space="preserve">Limit: </w:t>
      </w:r>
      <w:r>
        <w:rPr>
          <w:b w:val="0"/>
          <w:sz w:val="17"/>
        </w:rPr>
        <w:t>Self-reported counts; organizational adoption.</w:t>
      </w:r>
    </w:p>
    <w:p>
      <w:pPr>
        <w:spacing w:after="50"/>
      </w:pPr>
      <w:r>
        <w:rPr>
          <w:b/>
          <w:sz w:val="17"/>
        </w:rPr>
        <w:t xml:space="preserve">[D10] Linux Foundation. Linux Foundation Launches the Agent2Agent Protocol Project. 2025-06-23. [grade B] </w:t>
      </w:r>
      <w:r>
        <w:rPr>
          <w:b w:val="0"/>
          <w:sz w:val="17"/>
        </w:rPr>
        <w:t>https://linuxfoundation.org/press/linux-foundation-launches-the-agent2agent-protocol-project-to-enable-secure-intelligent-communication-between-ai-agents</w:t>
      </w:r>
    </w:p>
    <w:p>
      <w:pPr>
        <w:spacing w:after="90"/>
      </w:pPr>
      <w:r>
        <w:rPr>
          <w:b/>
          <w:sz w:val="17"/>
        </w:rPr>
        <w:t xml:space="preserve">Use: </w:t>
      </w:r>
      <w:r>
        <w:rPr>
          <w:b w:val="0"/>
          <w:sz w:val="17"/>
        </w:rPr>
        <w:t xml:space="preserve">Google-created A2A protocol for agent-to-agent communication moved to the Linux Foundation, with support from more than 100 technology companies: a second interoperability standard. </w:t>
      </w:r>
      <w:r>
        <w:rPr>
          <w:b/>
          <w:sz w:val="17"/>
        </w:rPr>
        <w:t xml:space="preserve">Limit: </w:t>
      </w:r>
      <w:r>
        <w:rPr>
          <w:b w:val="0"/>
          <w:sz w:val="17"/>
        </w:rPr>
        <w:t>Use in higher education.</w:t>
      </w:r>
    </w:p>
    <w:p>
      <w:pPr>
        <w:spacing w:after="50"/>
      </w:pPr>
      <w:r>
        <w:rPr>
          <w:b/>
          <w:sz w:val="17"/>
        </w:rPr>
        <w:t xml:space="preserve">[D11] Ellucian. Artificial Intelligence in Higher Education (Ellucian 2026 AI report). 2026 report; survey 2025-09-15 to 2025-11-15. [grade B] </w:t>
      </w:r>
      <w:r>
        <w:rPr>
          <w:b w:val="0"/>
          <w:sz w:val="17"/>
        </w:rPr>
        <w:t>https://lp.ellucian.com/rs/085-MHT-312/images/Ellucian_2026-AI-Report.pdf</w:t>
      </w:r>
    </w:p>
    <w:p>
      <w:pPr>
        <w:spacing w:after="90"/>
      </w:pPr>
      <w:r>
        <w:rPr>
          <w:b/>
          <w:sz w:val="17"/>
        </w:rPr>
        <w:t xml:space="preserve">Use: </w:t>
      </w:r>
      <w:r>
        <w:rPr>
          <w:b w:val="0"/>
          <w:sz w:val="17"/>
        </w:rPr>
        <w:t xml:space="preserve">Institutional AI use 66% (49% in 2024); 36% of Marketing, Admissions and Enrollment respondents use chatbots for FAQs; data security/privacy is the top institutional barrier (56%); 14% of executive respondents report a dedicated AI budget. No share for AI agents is reported. </w:t>
      </w:r>
      <w:r>
        <w:rPr>
          <w:b/>
          <w:sz w:val="17"/>
        </w:rPr>
        <w:t xml:space="preserve">Limit: </w:t>
      </w:r>
      <w:r>
        <w:rPr>
          <w:b w:val="0"/>
          <w:sz w:val="17"/>
        </w:rPr>
        <w:t>Representativeness (vendor customers and contacts); agentic use.</w:t>
      </w:r>
    </w:p>
    <w:p>
      <w:pPr>
        <w:spacing w:after="50"/>
      </w:pPr>
      <w:r>
        <w:rPr>
          <w:b/>
          <w:sz w:val="17"/>
        </w:rPr>
        <w:t xml:space="preserve">[D12] GovTech reporting EDUCAUSE. Survey: Higher Ed AI Adoption Faces Financial, Policy Hurdles (EDUCAUSE 2025 AI Landscape Study). 2025-02-25; survey November 2024, about 800 respondents. [grade B] </w:t>
      </w:r>
      <w:r>
        <w:rPr>
          <w:b w:val="0"/>
          <w:sz w:val="17"/>
        </w:rPr>
        <w:t>https://www.govtech.com/education/higher-ed/survey-higher-ed-ai-adoption-faces-financial-policy-hurdles</w:t>
      </w:r>
    </w:p>
    <w:p>
      <w:pPr>
        <w:spacing w:after="90"/>
      </w:pPr>
      <w:r>
        <w:rPr>
          <w:b/>
          <w:sz w:val="17"/>
        </w:rPr>
        <w:t xml:space="preserve">Use: </w:t>
      </w:r>
      <w:r>
        <w:rPr>
          <w:b w:val="0"/>
          <w:sz w:val="17"/>
        </w:rPr>
        <w:t xml:space="preserve">57% say AI is a strategic priority; 39% have AI acceptable-use policies; only 9% say privacy/security policies adequately address AI; only 2% fund AI with new sources; a 'widening digital divide' with larger institutions ahead. </w:t>
      </w:r>
      <w:r>
        <w:rPr>
          <w:b/>
          <w:sz w:val="17"/>
        </w:rPr>
        <w:t xml:space="preserve">Limit: </w:t>
      </w:r>
      <w:r>
        <w:rPr>
          <w:b w:val="0"/>
          <w:sz w:val="17"/>
        </w:rPr>
        <w:t>Admissions-specific or agent-specific adoption; secondary report.</w:t>
      </w:r>
    </w:p>
    <w:p>
      <w:pPr>
        <w:spacing w:after="50"/>
      </w:pPr>
      <w:r>
        <w:rPr>
          <w:b/>
          <w:sz w:val="17"/>
        </w:rPr>
        <w:t xml:space="preserve">[D13] UPCEA and EducationDynamics. UPCEA-EducationDynamics AI Readiness Report 2025. 2025-07 (survey 2025-02-24 to 2025-04-09). [grade C] </w:t>
      </w:r>
      <w:r>
        <w:rPr>
          <w:b w:val="0"/>
          <w:sz w:val="17"/>
        </w:rPr>
        <w:t>https://insights.educationdynamics.com/rs/183-YME-928/images/UPCEA-EDDY-AI-Readiness-Report-2025.pdf</w:t>
      </w:r>
    </w:p>
    <w:p>
      <w:pPr>
        <w:spacing w:after="90"/>
      </w:pPr>
      <w:r>
        <w:rPr>
          <w:b/>
          <w:sz w:val="17"/>
        </w:rPr>
        <w:t xml:space="preserve">Use: </w:t>
      </w:r>
      <w:r>
        <w:rPr>
          <w:b w:val="0"/>
          <w:sz w:val="17"/>
        </w:rPr>
        <w:t xml:space="preserve">Marketing and enrollment staff in online/professional education: 36% feel behind peers, 21% ahead; 56% do not see their institution as an AI leader; 79% expect chatbots/virtual assistants to transform marketing and enrollment within two years; barriers: budget 76%, technical infrastructure 64%, data privacy 52%, staff readiness 50%. Agents are not mentioned. </w:t>
      </w:r>
      <w:r>
        <w:rPr>
          <w:b/>
          <w:sz w:val="17"/>
        </w:rPr>
        <w:t xml:space="preserve">Limit: </w:t>
      </w:r>
      <w:r>
        <w:rPr>
          <w:b w:val="0"/>
          <w:sz w:val="17"/>
        </w:rPr>
        <w:t>A peer-group adoption rate; the sample is too small and self-selected.</w:t>
      </w:r>
    </w:p>
    <w:p>
      <w:pPr>
        <w:spacing w:after="50"/>
      </w:pPr>
      <w:r>
        <w:rPr>
          <w:b/>
          <w:sz w:val="17"/>
        </w:rPr>
        <w:t xml:space="preserve">[D14] Salesforce. Unity Environmental University taps Agentforce and Education Cloud. 2024-11-20. [grade C] </w:t>
      </w:r>
      <w:r>
        <w:rPr>
          <w:b w:val="0"/>
          <w:sz w:val="17"/>
        </w:rPr>
        <w:t>https://www.salesforce.com/news/stories/unity-environmental-university-agentforce-education-cloud/</w:t>
      </w:r>
    </w:p>
    <w:p>
      <w:pPr>
        <w:spacing w:after="90"/>
      </w:pPr>
      <w:r>
        <w:rPr>
          <w:b/>
          <w:sz w:val="17"/>
        </w:rPr>
        <w:t xml:space="preserve">Use: </w:t>
      </w:r>
      <w:r>
        <w:rPr>
          <w:b w:val="0"/>
          <w:sz w:val="17"/>
        </w:rPr>
        <w:t xml:space="preserve">A university planned to deploy recruitment agents on its website to answer prospective-student questions, handle requests for information and guide applications, with hand-off to staff; it expected to save $800 of staff time per web RFI. </w:t>
      </w:r>
      <w:r>
        <w:rPr>
          <w:b/>
          <w:sz w:val="17"/>
        </w:rPr>
        <w:t xml:space="preserve">Limit: </w:t>
      </w:r>
      <w:r>
        <w:rPr>
          <w:b w:val="0"/>
          <w:sz w:val="17"/>
        </w:rPr>
        <w:t>Measured results; the deployment was planned at publication and the savings are a projection.</w:t>
      </w:r>
    </w:p>
    <w:p>
      <w:pPr>
        <w:spacing w:after="50"/>
      </w:pPr>
      <w:r>
        <w:rPr>
          <w:b/>
          <w:sz w:val="17"/>
        </w:rPr>
        <w:t xml:space="preserve">[D15] Salesforce; Cloud for Good (partner). Agentforce for Education: Recruitment and Admissions pre-built skill; Dreamforce 2025 education keynote summary. Live page accessed 2026-10-25; summary 2025-10-20. [grade C] </w:t>
      </w:r>
      <w:r>
        <w:rPr>
          <w:b w:val="0"/>
          <w:sz w:val="17"/>
        </w:rPr>
        <w:t>https://www.salesforce.com/nl/agentforce/use-cases/education/recruitment-admissions/</w:t>
      </w:r>
    </w:p>
    <w:p>
      <w:pPr>
        <w:spacing w:after="90"/>
      </w:pPr>
      <w:r>
        <w:rPr>
          <w:b/>
          <w:sz w:val="17"/>
        </w:rPr>
        <w:t xml:space="preserve">Use: </w:t>
      </w:r>
      <w:r>
        <w:rPr>
          <w:b w:val="0"/>
          <w:sz w:val="17"/>
        </w:rPr>
        <w:t xml:space="preserve">A pre-built recruitment/admissions agent skill exists (answer questions from knowledge articles, create information requests, register campus tours, start applications); partner summary lists recruitment and RFI skills as generally available with some items in beta. This is change-agent activity that raises trialability. </w:t>
      </w:r>
      <w:r>
        <w:rPr>
          <w:b/>
          <w:sz w:val="17"/>
        </w:rPr>
        <w:t xml:space="preserve">Limit: </w:t>
      </w:r>
      <w:r>
        <w:rPr>
          <w:b w:val="0"/>
          <w:sz w:val="17"/>
        </w:rPr>
        <w:t>Customer counts or outcomes; the product page itself warns features 'may not be currently available'.</w:t>
      </w:r>
    </w:p>
    <w:p>
      <w:pPr>
        <w:spacing w:after="50"/>
      </w:pPr>
      <w:r>
        <w:rPr>
          <w:b/>
          <w:sz w:val="17"/>
        </w:rPr>
        <w:t xml:space="preserve">[D16] Syracuse University College of Professional Studies. College of Professional Studies Increases Student Support Through Artificial Intelligence Chatbot. 2022-02-18. [grade B] </w:t>
      </w:r>
      <w:r>
        <w:rPr>
          <w:b w:val="0"/>
          <w:sz w:val="17"/>
        </w:rPr>
        <w:t>https://professionalstudies.syracuse.edu/2022/02/18/college-of-professional-studies-increases-student-support-through-artificial-intelligence-chatbot/</w:t>
      </w:r>
    </w:p>
    <w:p>
      <w:pPr>
        <w:spacing w:after="90"/>
      </w:pPr>
      <w:r>
        <w:rPr>
          <w:b/>
          <w:sz w:val="17"/>
        </w:rPr>
        <w:t xml:space="preserve">Use: </w:t>
      </w:r>
      <w:r>
        <w:rPr>
          <w:b w:val="0"/>
          <w:sz w:val="17"/>
        </w:rPr>
        <w:t xml:space="preserve">A peer professional-studies school deployed an Ivy.ai FAQ chatbot ('Orange Bot') for current and prospective students, answering 24/7 in 105+ languages and routing prospects to admissions. </w:t>
      </w:r>
      <w:r>
        <w:rPr>
          <w:b/>
          <w:sz w:val="17"/>
        </w:rPr>
        <w:t xml:space="preserve">Limit: </w:t>
      </w:r>
      <w:r>
        <w:rPr>
          <w:b w:val="0"/>
          <w:sz w:val="17"/>
        </w:rPr>
        <w:t>Agentic tool use or outcomes; one institution.</w:t>
      </w:r>
    </w:p>
    <w:p>
      <w:pPr>
        <w:spacing w:after="50"/>
      </w:pPr>
      <w:r>
        <w:rPr>
          <w:b/>
          <w:sz w:val="17"/>
        </w:rPr>
        <w:t xml:space="preserve">[D17] NYU Admissions. Meet the NYUAdmissionsBot. 2025-11-21. [grade A] </w:t>
      </w:r>
      <w:r>
        <w:rPr>
          <w:b w:val="0"/>
          <w:sz w:val="17"/>
        </w:rPr>
        <w:t>https://meet.nyu.edu/advice/meet-the-nyuadmissionsbot/</w:t>
      </w:r>
    </w:p>
    <w:p>
      <w:pPr>
        <w:spacing w:after="90"/>
      </w:pPr>
      <w:r>
        <w:rPr>
          <w:b/>
          <w:sz w:val="17"/>
        </w:rPr>
        <w:t xml:space="preserve">Use: </w:t>
      </w:r>
      <w:r>
        <w:rPr>
          <w:b w:val="0"/>
          <w:sz w:val="17"/>
        </w:rPr>
        <w:t xml:space="preserve">NYU Admissions offers a generative AI admissions bot on its admissions site and applicant portal, available 24/7; it hands off to a live agent or a contact form when it cannot answer. </w:t>
      </w:r>
      <w:r>
        <w:rPr>
          <w:b/>
          <w:sz w:val="17"/>
        </w:rPr>
        <w:t xml:space="preserve">Limit: </w:t>
      </w:r>
      <w:r>
        <w:rPr>
          <w:b w:val="0"/>
          <w:sz w:val="17"/>
        </w:rPr>
        <w:t>SPS graduate admissions specifically; agentic actions; vendor; usage.</w:t>
      </w:r>
    </w:p>
    <w:p>
      <w:pPr>
        <w:spacing w:after="50"/>
      </w:pPr>
      <w:r>
        <w:rPr>
          <w:b/>
          <w:sz w:val="17"/>
        </w:rPr>
        <w:t xml:space="preserve">[D18] NYU School of Professional Studies. NYU SPS Graduate Admissions. Undated live page; verified 2026-10-18 (re-fetch blocked 2026-10-25). [grade A] </w:t>
      </w:r>
      <w:r>
        <w:rPr>
          <w:b w:val="0"/>
          <w:sz w:val="17"/>
        </w:rPr>
        <w:t>https://www.sps.nyu.edu/join/graduate-admissions.html</w:t>
      </w:r>
    </w:p>
    <w:p>
      <w:pPr>
        <w:spacing w:after="90"/>
      </w:pPr>
      <w:r>
        <w:rPr>
          <w:b/>
          <w:sz w:val="17"/>
        </w:rPr>
        <w:t xml:space="preserve">Use: </w:t>
      </w:r>
      <w:r>
        <w:rPr>
          <w:b w:val="0"/>
          <w:sz w:val="17"/>
        </w:rPr>
        <w:t xml:space="preserve">Phone/email contact, weekday appointments, information sessions and 'For immediate assistance, try our chatbot, Violet.' </w:t>
      </w:r>
      <w:r>
        <w:rPr>
          <w:b/>
          <w:sz w:val="17"/>
        </w:rPr>
        <w:t xml:space="preserve">Limit: </w:t>
      </w:r>
      <w:r>
        <w:rPr>
          <w:b w:val="0"/>
          <w:sz w:val="17"/>
        </w:rPr>
        <w:t>Violet's architecture, tool use, vendor or usage.</w:t>
      </w:r>
    </w:p>
    <w:p>
      <w:pPr>
        <w:spacing w:after="50"/>
      </w:pPr>
      <w:r>
        <w:rPr>
          <w:b/>
          <w:sz w:val="17"/>
        </w:rPr>
        <w:t xml:space="preserve">[D19] Lindsay C. Page and Hunter Gehlbach. How an Artificially Intelligent Virtual Assistant Helps Students Navigate the Road to College. 2017; AERA Open 3(4). [grade A] </w:t>
      </w:r>
      <w:r>
        <w:rPr>
          <w:b w:val="0"/>
          <w:sz w:val="17"/>
        </w:rPr>
        <w:t>https://journals.sagepub.com/doi/pdf/10.1177/2332858417749220</w:t>
      </w:r>
    </w:p>
    <w:p>
      <w:pPr>
        <w:spacing w:after="90"/>
      </w:pPr>
      <w:r>
        <w:rPr>
          <w:b/>
          <w:sz w:val="17"/>
        </w:rPr>
        <w:t xml:space="preserve">Use: </w:t>
      </w:r>
      <w:r>
        <w:rPr>
          <w:b w:val="0"/>
          <w:sz w:val="17"/>
        </w:rPr>
        <w:t xml:space="preserve">A pre-LLM conversational assistant supported pre-enrollment tasks at Georgia State: chatbots in admissions-adjacent work date back to the innovator stage around 2016. </w:t>
      </w:r>
      <w:r>
        <w:rPr>
          <w:b/>
          <w:sz w:val="17"/>
        </w:rPr>
        <w:t xml:space="preserve">Limit: </w:t>
      </w:r>
      <w:r>
        <w:rPr>
          <w:b w:val="0"/>
          <w:sz w:val="17"/>
        </w:rPr>
        <w:t>LLM agents; current adoption.</w:t>
      </w:r>
    </w:p>
    <w:p>
      <w:pPr>
        <w:spacing w:after="50"/>
      </w:pPr>
      <w:r>
        <w:rPr>
          <w:b/>
          <w:sz w:val="17"/>
        </w:rPr>
        <w:t xml:space="preserve">[D20] eCampus News reporting Intelligent.com. Colleges use AI in admissions (Intelligent.com survey reported by eCampus News). 2023 (survey September 2023). [grade C] </w:t>
      </w:r>
      <w:r>
        <w:rPr>
          <w:b w:val="0"/>
          <w:sz w:val="17"/>
        </w:rPr>
        <w:t>https://www.ecampusnews.com/campus-leadership/2023/10/13/colleges-use-ai-admissions/</w:t>
      </w:r>
    </w:p>
    <w:p>
      <w:pPr>
        <w:spacing w:after="90"/>
      </w:pPr>
      <w:r>
        <w:rPr>
          <w:b/>
          <w:sz w:val="17"/>
        </w:rPr>
        <w:t xml:space="preserve">Use: </w:t>
      </w:r>
      <w:r>
        <w:rPr>
          <w:b w:val="0"/>
          <w:sz w:val="17"/>
        </w:rPr>
        <w:t xml:space="preserve">399 'education professionals' (79% higher education, 21% private high schools): 56% say their school uses AI in admissions and 82% expect to by 2024; uses: reviewing recommendation letters 73%, transcripts 71%, communicating with applicants 61%. </w:t>
      </w:r>
      <w:r>
        <w:rPr>
          <w:b/>
          <w:sz w:val="17"/>
        </w:rPr>
        <w:t xml:space="preserve">Limit: </w:t>
      </w:r>
      <w:r>
        <w:rPr>
          <w:b w:val="0"/>
          <w:sz w:val="17"/>
        </w:rPr>
        <w:t>A current or representative adoption rate; agentic recruitment support. Stale (2023), mixed population, undisclosed sampling, and mostly about reviewing documents.</w:t>
      </w:r>
    </w:p>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Assignment 5 Agent Record | Minghan Liu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