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t xml:space="preserve">EMERGING TECHNOLOGIES</w:t>
      </w:r>
    </w:p>
    <w:p>
      <w:pPr>
        <w:pStyle w:val="Title"/>
        <w:jc w:val="center"/>
      </w:pPr>
      <w:r>
        <w:rPr/>
        <w:t xml:space="preserve">Innovation and Disruption Agent</w:t>
      </w:r>
    </w:p>
    <w:p>
      <w:pPr>
        <w:jc w:val="center"/>
      </w:pPr>
      <w:r>
        <w:rPr/>
        <w:t xml:space="preserve">Assignment 3 | Minghan Liu | October 11 2026</w:t>
      </w:r>
    </w:p>
    <w:tbl>
      <w:tblPr>
        <w:tblW w:type="auto" w:w="0"/>
        <w:tblLook w:firstColumn="1" w:firstRow="1" w:lastColumn="0" w:lastRow="0" w:noHBand="0" w:noVBand="1" w:val="04A0"/>
      </w:tblPr>
      <w:tblGrid>
        <w:gridCol w:w="10454"/>
      </w:tblGrid>
      <w:tr>
        <w:trPr>
          <w:cantSplit/>
        </w:trPr>
        <w:tc>
          <w:tcPr>
            <w:tcW w:type="dxa" w:w="10454"/>
            <w:shd w:fill="F3EDF7"/>
            <w:tcMar>
              <w:top w:w="90" w:type="dxa"/>
              <w:start w:w="120" w:type="dxa"/>
              <w:bottom w:w="90" w:type="dxa"/>
              <w:end w:w="120" w:type="dxa"/>
            </w:tcMar>
          </w:tcPr>
          <w:p>
            <w:pPr>
              <w:pStyle w:val="Callout"/>
            </w:pPr>
            <w:r>
              <w:rPr/>
              <w:t xml:space="preserve">Purpose: assess innovation and business-model change for agentic AI in applicant support. Complete the highlighted student sections before submitting.</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t xml:space="preserve">Minghan Liu / individual submission</w:t>
            </w:r>
          </w:p>
        </w:tc>
      </w:tr>
      <w:tr>
        <w:trPr>
          <w:cantSplit/>
        </w:trP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t xml:space="preserve">Assignment 3 / Innovation and Disruption Agent v1.1</w:t>
            </w:r>
          </w:p>
        </w:tc>
      </w:tr>
      <w:tr>
        <w:trPr>
          <w:cantSplit/>
        </w:trP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t xml:space="preserve">October 11, 2026</w:t>
            </w:r>
          </w:p>
        </w:tc>
      </w:tr>
      <w:tr>
        <w:trPr>
          <w:cantSplit/>
        </w:trP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r>
              <w:rPr/>
              <w:t xml:space="preserve">https://github.com/lmh04250425/MASY1800-agents</w:t>
            </w:r>
          </w:p>
        </w:tc>
      </w:tr>
      <w:tr>
        <w:trPr>
          <w:cantSplit/>
        </w:trP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t xml:space="preserve">assignment-3-innovation-disruption</w:t>
            </w:r>
          </w:p>
        </w:tc>
      </w:tr>
      <w:tr>
        <w:trPr>
          <w:cantSplit/>
        </w:trP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20"/>
            </w:pPr>
            <w:r>
              <w:rPr/>
              <w:t xml:space="preserve">Implementation and tests: 4cdf07c1a6eb2cbaf10f44423393bd9d5e87c24b</w:t>
            </w:r>
          </w:p>
        </w:tc>
      </w:tr>
      <w:tr>
        <w:trPr>
          <w:cantSplit/>
        </w:trP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t xml:space="preserve">MASY1800_ET_Agent_Scaffold_v1_0; frozen core verified intact</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t xml:space="preserve">What kind of innovation is proposed, and what could it create or displace in the organization’s business model?</w:t>
            </w:r>
          </w:p>
        </w:tc>
      </w:tr>
      <w:tr>
        <w:trPr>
          <w:cantSplit/>
        </w:trP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t xml:space="preserve">Agentic AI: LLM systems that plan and use tools to complete tasks.</w:t>
            </w:r>
          </w:p>
        </w:tc>
      </w:tr>
      <w:tr>
        <w:trPr>
          <w:cantSplit/>
        </w:trP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20"/>
            </w:pPr>
            <w:r>
              <w:rPr/>
              <w:t xml:space="preserve">Proposed support for prospective students: approved information, clarification and appointment requests. People approve consequential messages and actions.</w:t>
            </w:r>
          </w:p>
        </w:tc>
      </w:tr>
      <w:tr>
        <w:trPr>
          <w:cantSplit/>
        </w:trP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t xml:space="preserve">NYU School of Professional Studies / higher education. Continues the Assignment 2 project.</w:t>
            </w:r>
          </w:p>
        </w:tc>
      </w:tr>
      <w:tr>
        <w:trPr>
          <w:cantSplit/>
        </w:trP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t xml:space="preserve">Moderate / fast-follower is a case assumption, not an official NYU policy.</w:t>
            </w:r>
          </w:p>
        </w:tc>
      </w:tr>
      <w:tr>
        <w:trPr>
          <w:cantSplit/>
        </w:trP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t xml:space="preserve">Incorrect guidance, privacy and unauthorized actions. No applicant records or live outreach used. Admission, scholarship and visa decisions are outside scope.</w:t>
            </w:r>
          </w:p>
        </w:tc>
      </w:tr>
      <w:tr>
        <w:trPr>
          <w:cantSplit/>
        </w:trP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t xml:space="preserve">What evidence justifies investigating a bounded support pilot? Decision horizon: 12 months / one admissions cycle.</w:t>
            </w:r>
          </w:p>
        </w:tc>
      </w:tr>
    </w:tbl>
    <w:p>
      <w:pPr>
        <w:pStyle w:val="Heading1"/>
        <w:pageBreakBefore/>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20"/>
            </w:pPr>
            <w:r>
              <w:rPr/>
              <w:t xml:space="preserve">LLMs plus tool control have commercial offerings [S2, S3]. Invention, innovation and commercialization can overlap. A universal breakthrough or profitable market-wide diffusion is not established.</w:t>
            </w:r>
          </w:p>
        </w:tc>
      </w:tr>
      <w:tr>
        <w:trPr>
          <w:cantSplit/>
        </w:trP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20"/>
            </w:pPr>
            <w:r>
              <w:rPr/>
              <w:t xml:space="preserve">Proposed incremental and sustaining process innovation relative to counselor support and fixed workflows. Actual use and local novelty are unverified. Earlier student-support chatbots weaken claims of unprecedented outreach [S1, S5, C1].</w:t>
            </w:r>
          </w:p>
        </w:tc>
      </w:tr>
      <w:tr>
        <w:trPr>
          <w:cantSplit/>
        </w:trP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20"/>
            </w:pPr>
            <w:r>
              <w:rPr/>
              <w:t xml:space="preserve">Moderate conditional exposure for recruitment-support activities. Automation could shift routine handling and costs while preserving the educational offer. This is not evidence that degrees or counselors become obsolete.</w:t>
            </w:r>
          </w:p>
        </w:tc>
      </w:tr>
      <w:tr>
        <w:trPr>
          <w:cantSplit/>
        </w:trP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t xml:space="preserve">Compare staff-only, simple retrieval and the proposed agent on the same approved tasks before considering a live pilot. A simpler solution may be sufficient. The Adoption specialist owns go/no-go.</w:t>
            </w:r>
          </w:p>
        </w:tc>
      </w:tr>
      <w:tr>
        <w:trPr>
          <w:cantSplit/>
        </w:trP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t xml:space="preserve">Moderate confidence in the conditional mechanism; low confidence in size, timing and actual SPS novelty. Internal systems, response delays and cost savings are not verified.</w:t>
            </w:r>
          </w:p>
        </w:tc>
      </w:tr>
      <w:tr>
        <w:trPr>
          <w:cantSplit/>
        </w:trP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20"/>
            </w:pPr>
            <w:r>
              <w:rPr/>
              <w:t xml:space="preserve">Lower the claim if review costs erase benefits or simple retrieval performs equally well. Reassess upward only with evidence of material channel, intermediary or revenue change. Do not infer enrollment gains from faster replies.</w:t>
            </w:r>
          </w:p>
        </w:tc>
      </w:tr>
    </w:tbl>
    <w:p>
      <w:pPr>
        <w:pStyle w:val="Heading2"/>
      </w:pPr>
      <w:r>
        <w:rPr/>
        <w:t xml:space="preserve">Classification rules</w:t>
      </w:r>
    </w:p>
    <w:p>
      <w:r>
        <w:rPr/>
        <w:t xml:space="preserve">Use related dimensions rather than one exclusive label. Invention creates a technical capability; innovation requires meaningful implementation; entrepreneurship organizes an offering and value capture [C1, S1]. Availability alone does not establish profitability.</w:t>
      </w:r>
    </w:p>
    <w:p>
      <w:r>
        <w:rPr/>
        <w:t xml:space="preserve">Incremental change improves an existing operating logic. A breakthrough needs demonstrated capability beyond a named baseline. These are transparent operational rules for this assignment. Local novelty is separate from global novelty; broader barrier dissolution belongs to the Promethean specialist [C3].</w:t>
      </w:r>
    </w:p>
    <w:p>
      <w:r>
        <w:rPr/>
        <w:t xml:space="preserve">Rating anchors: Low = local improvement with the business model intact. Moderate = material activity, cost or channel change. High = threat to core revenue logic or the intermediary role. Potentially Existential = supported loss of viability without a feasible response. Use Insufficient evidence when a responsible rating cannot be supported.</w:t>
      </w:r>
    </w:p>
    <w:p>
      <w:pPr>
        <w:pStyle w:val="Heading1"/>
        <w:pageBreakBefore/>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t xml:space="preserve">C1-C2: course definitions and severity/time matrix. S1: implementation gate. S2-S3: architecture and commercial availability. S4: NYU public channels. S5: older outreach counterexample. S6: risk framework. Full references are in Appendix B.</w:t>
            </w:r>
          </w:p>
        </w:tc>
      </w:tr>
      <w:tr>
        <w:trPr>
          <w:cantSplit/>
        </w:trP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t xml:space="preserve">v1.1 preserves a proposed process-innovation finding and Moderate conditional support-workflow exposure. The recorded JSON passes both the supplied validator and stricter contract checks.</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t xml:space="preserve">Technology, general classification and implementation caution. Each round deliberately retains the same general-technology paragraph across all three outputs.</w:t>
            </w:r>
          </w:p>
        </w:tc>
      </w:tr>
      <w:tr>
        <w:trPr>
          <w:cantSplit/>
        </w:trP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20"/>
            </w:pPr>
            <w:r>
              <w:rPr/>
              <w:t xml:space="preserve">High conditional exposure for a synthetic service provider whose assumed core revenue is routine counselor hours. This changes the value-capture mechanism, not the underlying technology.</w:t>
            </w:r>
          </w:p>
        </w:tc>
      </w:tr>
      <w:tr>
        <w:trPr>
          <w:cantSplit/>
        </w:trP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20"/>
            </w:pPr>
            <w:r>
              <w:rPr/>
              <w:t xml:space="preserve">v1.0 assigned Low to the FAQ case despite admitting that its baseline and economics were missing. Ratings lacked explicit anchors and monitoring triggers were too vague.</w:t>
            </w:r>
          </w:p>
        </w:tc>
      </w:tr>
      <w:tr>
        <w:trPr>
          <w:cantSplit/>
        </w:trP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t xml:space="preserve">v1.1 adds rating anchors, explicit abstention, causal economics, the course severity/time lens and comparison-based triggers. The same inputs were rerun; first outputs remain unchanged.</w:t>
            </w:r>
          </w:p>
        </w:tc>
      </w:tr>
      <w:tr>
        <w:trPr>
          <w:cantSplit/>
        </w:trP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20"/>
            </w:pPr>
            <w:r>
              <w:rPr/>
              <w:t xml:space="preserve">Three small diagnostic cases in one Codex conversation; no blinded evaluation, real SPS deployment, financial result or applicant experiment. Team acceptance and actual suitability remain unproven.</w:t>
            </w:r>
          </w:p>
        </w:tc>
      </w:tr>
    </w:tbl>
    <w:p>
      <w:pPr>
        <w:pStyle w:val="Heading2"/>
      </w:pPr>
      <w:r>
        <w:rPr/>
        <w:t xml:space="preserve">Two rounds of diagnostic testing</w:t>
      </w:r>
    </w:p>
    <w:p>
      <w:r>
        <w:rPr/>
        <w:t xml:space="preserve">Round 1: three inputs produced valid JSON, but the qualitative review found unsupported rating precision and weak monitoring. Round 2: the same inputs were answered using revised instructions. The FAQ verdict changed from Low to Insufficient evidence; the SPS/provider difference remained conditional and economically explained.</w:t>
      </w:r>
    </w:p>
    <w:p>
      <w:r>
        <w:rPr/>
        <w:t xml:space="preserve">All six archived responses passed contract checks. Thirteen structural/integrity checks passed, including frozen-core integrity, input consistency and prompt/response hashes. These checks do not prove factual accuracy, deployment safety or business performance.</w:t>
      </w:r>
    </w:p>
    <w:p>
      <w:r>
        <w:rPr/>
        <w:t xml:space="preserve">Title clarification: the course schedule reads “HW 3 - Sub Agent 2” followed by “Cycles” [C4]. The 2 numbers the specialist. Two test rounds document improvement; they are not claimed as an explicit two-cycle requirement.</w:t>
      </w:r>
    </w:p>
    <w:p>
      <w:pPr>
        <w:pStyle w:val="Heading1"/>
        <w:pageBreakBefore/>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rPr>
          <w:cantSplit/>
          <w:tblHeader/>
        </w:trP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rPr>
          <w:cantSplit/>
        </w:trP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b/>
                <w:color w:val="B00020"/>
                <w:highlight w:val="yellow"/>
              </w:rPr>
              <w:t xml:space="preserve">[STUDENT INPUT REQUIRED - INDEPENDENT JUDGMENT]</w:t>
            </w:r>
            <w:r>
              <w:rPr>
                <w:b/>
                <w:color w:val="B00020"/>
                <w:highlight w:val="yellow"/>
              </w:rPr>
              <w:br/>
              <w:t xml:space="preserve">Write 2-4 sentences: would you accept this agent for team consideration, why, and what limitation matters most? Use the analytical conclusion below as evidence, not as a substitute for your own decision.</w:t>
            </w:r>
          </w:p>
        </w:tc>
      </w:tr>
      <w:tr>
        <w:trPr>
          <w:cantSplit/>
        </w:trP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20"/>
            </w:pPr>
            <w:r>
              <w:rPr/>
              <w:t xml:space="preserve">Preserve the distinction between technical novelty and business-model exposure. Keep the fixed-FAQ counter-case. Ask the team to rerun an unseen case independently and test the simpler alternative before treating the proposal as necessary.</w:t>
            </w:r>
          </w:p>
        </w:tc>
      </w:tr>
      <w:tr>
        <w:trPr>
          <w:cantSplit/>
        </w:trP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20"/>
            </w:pPr>
            <w:r>
              <w:rPr/>
              <w:t xml:space="preserve">Codex drafted the specialist, organized sources, generated six JSON responses and reviewed/revised them in the same conversation. Frozen scripts built packets and validated outputs. Additional checks verified schema details and archived hashes. Sources S1-S6 were opened and checked; slides supplied the course lens. No API call, live recruitment system or independent evaluator was used. Student judgment and reflection remain for the student to complete.</w:t>
            </w:r>
          </w:p>
        </w:tc>
      </w:tr>
    </w:tbl>
    <w:p>
      <w:pPr>
        <w:pStyle w:val="Heading2"/>
      </w:pPr>
      <w:r>
        <w:rPr/>
        <w:t xml:space="preserve">Analytical conclusion for student review</w:t>
      </w:r>
    </w:p>
    <w:p>
      <w:r>
        <w:rPr/>
        <w:t xml:space="preserve">The most defensible classification is a proposed incremental process innovation with a sustaining role at SPS. It could change recruitment support, but current evidence does not show that it changes the educational business model. The same design can threaten a provider that earns money from the very hours it automates. That difference supports contextual analysis, not a claim that agentic AI is always disruptive. The specialist is useful for team discussion, with its assumptions and limitations attached.</w:t>
      </w:r>
    </w:p>
    <w:p>
      <w:pPr>
        <w:pStyle w:val="Heading1"/>
      </w:pPr>
      <w:r>
        <w:rPr/>
        <w:t xml:space="preserve">F Personal reflection</w:t>
      </w:r>
    </w:p>
    <w:p>
      <w:r>
        <w:rPr>
          <w:b/>
          <w:b/>
          <w:color w:val="B00020"/>
          <w:highlight w:val="yellow"/>
        </w:rPr>
        <w:t xml:space="preserve">[STUDENT INPUT REQUIRED - PERSONAL REFLECTION]</w:t>
      </w:r>
    </w:p>
    <w:p>
      <w:r>
        <w:rPr>
          <w:b/>
          <w:color w:val="B00020"/>
          <w:highlight w:val="yellow"/>
        </w:rPr>
        <w:t xml:space="preserve">Write approximately 100-150 words in your own voice. This length is a suggestion, not a teacher requirement. Explain what you initially thought, which source or test challenged that thought, what you worry AI could judge incorrectly, and how you will check it next time. Replace this entire highlighted instruction with your reflection.</w:t>
      </w:r>
    </w:p>
    <w:p>
      <w:r>
        <w:rPr>
          <w:b/>
        </w:rPr>
        <w:t xml:space="preserve">Before submission: complete both highlighted sections, review the recommendation in E, and remove the instructional markers.</w:t>
      </w:r>
    </w:p>
    <w:p>
      <w:pPr>
        <w:pStyle w:val="Heading1"/>
        <w:pageBreakBefore/>
      </w:pPr>
      <w:r>
        <w:rPr/>
        <w:t xml:space="preserve">Appendix A Business model reasoning</w:t>
      </w:r>
    </w:p>
    <w:p>
      <w:pPr>
        <w:pStyle w:val="Heading2"/>
      </w:pPr>
      <w:r>
        <w:rPr/>
        <w:t xml:space="preserve">Representative primary output</w:t>
      </w:r>
    </w:p>
    <w:p>
      <w:r>
        <w:rPr/>
        <w:t xml:space="preserve">Version 1.1 assesses the proposed NYU SPS support workflow as a candidate incremental innovation, with Moderate conditional business-model exposure over the 12-month decision horizon. The target is recruitment support. No claim of actual SPS deployment, measured savings, guaranteed enrollment growth or replacement of academic decision-making is made. The complete machine-readable output is preserved in responses/primary_response.json.</w:t>
      </w:r>
    </w:p>
    <w:p>
      <w:pPr>
        <w:pStyle w:val="Heading2"/>
      </w:pPr>
      <w:r>
        <w:rPr/>
        <w:t xml:space="preserve">Creation and displacement</w:t>
      </w:r>
    </w:p>
    <w:p>
      <w:r>
        <w:rPr/>
        <w:t xml:space="preserve">If reliable, approved tool use could reduce repetitive information handling and create more useful staff capacity. Applicants may gain convenient support. Routine outsourced handling could lose value, while information curation, exception work and quality assurance become more valuable. Platforms could capture subscription or usage fees. Released staff time is not automatically a cash saving.</w:t>
      </w:r>
    </w:p>
    <w:p>
      <w:pPr>
        <w:pStyle w:val="Heading2"/>
      </w:pPr>
      <w:r>
        <w:rPr/>
        <w:t xml:space="preserve">Why the contrast matters</w:t>
      </w:r>
    </w:p>
    <w:p>
      <w:r>
        <w:rPr/>
        <w:t xml:space="preserve">The hypothetical provider sells routine counselor hours as its core offer. Direct software purchasing by universities could reduce those hours and bypass the provider. A managed quality/integration service could create a new offer, but its profitability is untested. The provider faces an incumbent dilemma: helping clients automate can cannibalize current revenue. High exposure is conditional on these assumptions and does not establish insolvency.</w:t>
      </w:r>
    </w:p>
    <w:p>
      <w:pPr>
        <w:pStyle w:val="Heading2"/>
      </w:pPr>
      <w:r>
        <w:rPr/>
        <w:t xml:space="preserve">Severity and time</w:t>
      </w:r>
    </w:p>
    <w:p>
      <w:r>
        <w:rPr/>
        <w:t xml:space="preserve">Using the course matrix [C2, slide 24], Moderate / near-term is a provisional SPS investigation scenario. High / medium-term is an adaptation-planning scenario for the provider. Actual timing is unknown. Here, near-term means 0-12 months and medium-term 1-3 years; these are assignment planning bins, not lecturer-specified cutoffs or market forecasts. The matrix supports an investigation or preparation question, not automatic deployment.</w:t>
      </w:r>
    </w:p>
    <w:p>
      <w:pPr>
        <w:pStyle w:val="Heading2"/>
      </w:pPr>
      <w:r>
        <w:rPr/>
        <w:t xml:space="preserve">Strongest rival and the evidence needed</w:t>
      </w:r>
    </w:p>
    <w:p>
      <w:r>
        <w:rPr/>
        <w:t xml:space="preserve">Simple retrieval may deliver the same support value with less cost. Clients may retain the provider for accountability and complex relationships. Compare staff-only, retrieval and the proposed agent on matched approved tasks: correct completion, consequential errors, escalations, staff effort and total cost per correctly completed task. Include integration, platform, monitoring, review and correction costs. These comparisons are proposed future work, not results already measured.</w:t>
      </w:r>
    </w:p>
    <w:p>
      <w:pPr>
        <w:pStyle w:val="Heading2"/>
      </w:pPr>
      <w:r>
        <w:rPr/>
        <w:t xml:space="preserve">Management triggers and boundaries</w:t>
      </w:r>
    </w:p>
    <w:p>
      <w:r>
        <w:rPr/>
        <w:t xml:space="preserve">Admissions operations and finance should reassess if total cost and useful capability fail to improve on the simpler alternative. A quality lead should block expansion after consequential wrong guidance or unauthorized actions. Strategy should check material competitor or channel changes quarterly. Adoption owns the final decision; Readiness owns capacity and permissions; Diffusion owns uptake; Landscape owns alternatives; Promethean owns broader significance.</w:t>
      </w:r>
    </w:p>
    <w:p>
      <w:pPr>
        <w:pStyle w:val="Heading1"/>
        <w:pageBreakBefore/>
      </w:pPr>
      <w:r>
        <w:rPr/>
        <w:t xml:space="preserve">Appendix B Sources and evidence boundaries</w:t>
      </w:r>
    </w:p>
    <w:p>
      <w:r>
        <w:rPr/>
        <w:t xml:space="preserve">All public sources below were opened and inspected on October 11, 2026. Sources support specific claims; they do not establish actual NYU internal performance. Publication dates and retrieval dates are distinguished.</w:t>
      </w:r>
    </w:p>
    <w:p>
      <w:r>
        <w:rPr>
          <w:b/>
        </w:rPr>
        <w:t xml:space="preserve">[S1] OECD/Eurostat. Oslo Manual 2018, Chapter 3. 2018-10-22.</w:t>
      </w:r>
    </w:p>
    <w:p>
      <w:r>
        <w:rPr/>
        <w:t xml:space="preserve">https://www.oecd.org/en/publications/oslo-manual-2018_9789264304604-en/full-report/component-9.html</w:t>
      </w:r>
    </w:p>
    <w:p>
      <w:r>
        <w:rPr/>
        <w:t xml:space="preserve">Use: Innovation requires meaningful difference and implementation; organizational novelty need not be world novelty. Limit: A specific SPS deployment or a universal breakthrough threshold.</w:t>
      </w:r>
    </w:p>
    <w:p>
      <w:r>
        <w:rPr>
          <w:b/>
        </w:rPr>
        <w:t xml:space="preserve">[S2] Anthropic. Building effective agents. 2024-12-19; living page accessed 2026-10-11.</w:t>
      </w:r>
    </w:p>
    <w:p>
      <w:r>
        <w:rPr/>
        <w:t xml:space="preserve">https://www.anthropic.com/engineering/building-effective-agents</w:t>
      </w:r>
    </w:p>
    <w:p>
      <w:r>
        <w:rPr/>
        <w:t xml:space="preserve">Use: Separates model-directed tool use from fixed workflows; discusses complexity and compounding errors. Limit: Independent proof of superiority, reliability or savings at SPS; current tooling completeness.</w:t>
      </w:r>
    </w:p>
    <w:p>
      <w:r>
        <w:rPr>
          <w:b/>
        </w:rPr>
        <w:t xml:space="preserve">[S3] Salesforce. Salesforce’s Agentforce Is Here. 2024-10-29.</w:t>
      </w:r>
    </w:p>
    <w:p>
      <w:r>
        <w:rPr/>
        <w:t xml:space="preserve">https://www.salesforce.com/news/press-releases/2024/10/29/agentforce-general-availability-announcement/</w:t>
      </w:r>
    </w:p>
    <w:p>
      <w:r>
        <w:rPr/>
        <w:t xml:space="preserve">Use: Commercial availability of an enterprise agent offering was announced in 2024. Limit: Verified customer ROI, broad adoption, current price, or SPS procurement.</w:t>
      </w:r>
    </w:p>
    <w:p>
      <w:r>
        <w:rPr>
          <w:b/>
        </w:rPr>
        <w:t xml:space="preserve">[S4] NYU School of Professional Studies. Graduate Admissions. Undated live page; accessed 2026-10-11.</w:t>
      </w:r>
    </w:p>
    <w:p>
      <w:r>
        <w:rPr/>
        <w:t xml:space="preserve">https://www.sps.nyu.edu/join/graduate-admissions.html</w:t>
      </w:r>
    </w:p>
    <w:p>
      <w:r>
        <w:rPr/>
        <w:t xml:space="preserve">Use: Public admissions information and staff appointment channels exist. Limit: Internal CRM, response delays, staff costs, AI deployment, lost applicants, or adoption posture.</w:t>
      </w:r>
    </w:p>
    <w:p>
      <w:r>
        <w:rPr>
          <w:b/>
        </w:rPr>
        <w:t xml:space="preserve">[S5] Lindsay C. Page and Hunter Gehlbach. How an Artificially Intelligent Virtual Assistant Helps Students Navigate the Road to College. 2017.</w:t>
      </w:r>
    </w:p>
    <w:p>
      <w:r>
        <w:rPr/>
        <w:t xml:space="preserve">https://journals.sagepub.com/doi/pdf/10.1177/2332858417749220</w:t>
      </w:r>
    </w:p>
    <w:p>
      <w:r>
        <w:rPr/>
        <w:t xml:space="preserve">Use: A pre-LLM conversational assistant was tested for pre-enrollment support at Georgia State. Limit: Agentic-LLM superiority, NYU graduate applicant results, or transfer of effect sizes.</w:t>
      </w:r>
    </w:p>
    <w:p>
      <w:r>
        <w:rPr>
          <w:b/>
        </w:rPr>
        <w:t xml:space="preserve">[S6] NIST. Artificial Intelligence Risk Management Framework Generative Artificial Intelligence Profile. 2024-07-26.</w:t>
      </w:r>
    </w:p>
    <w:p>
      <w:r>
        <w:rPr/>
        <w:t xml:space="preserve">https://doi.org/10.6028/NIST.AI.600-1</w:t>
      </w:r>
    </w:p>
    <w:p>
      <w:r>
        <w:rPr/>
        <w:t xml:space="preserve">Use: Generated misinformation and human oversight require explicit controls. Limit: Legal clearance, a guaranteed safe deployment, or quantified business disruption.</w:t>
      </w:r>
    </w:p>
    <w:p>
      <w:pPr>
        <w:pStyle w:val="Heading2"/>
      </w:pPr>
      <w:r>
        <w:rPr/>
        <w:t xml:space="preserve">Course materials</w:t>
      </w:r>
    </w:p>
    <w:p>
      <w:r>
        <w:rPr/>
        <w:t xml:space="preserve">[C1] Andres Fortino. ET Invention Innovation Entrepreurship FA26, slides 8 and 10-14. Definitions and developmental roles. [C2] ET Creative Destruction FA26, slides 9, 15, 19-24 and 34-35. Creative destruction, incumbent incentives, severity/time and local novelty. [C3] ET Promethean Teachnologies FA26, slides 11 and 17-18. Boundary with the Promethean specialist. [C4] ET Creative Destruction FA26, slides 3 and 32. Embedded schedule confirming the assignment-title interpretation.</w:t>
      </w:r>
    </w:p>
    <w:p>
      <w:r>
        <w:rPr/>
        <w:t xml:space="preserve">Scope authority: the attached revised Assignment 3 memo and current Brightspace rubric. Older decks contain different assignment numbering. Full textbook chapters were not supplied and are not claimed as read. The synthetic contrast, internal SPS assumptions and timing scenarios are clearly separated from verified facts.</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Specialist Agent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