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color w:val="57068C"/>
          <w:sz w:val="28"/>
        </w:rPr>
        <w:t>EMERGING TECHNOLOGIES</w:t>
      </w:r>
    </w:p>
    <w:p>
      <w:pPr>
        <w:pStyle w:val="Title"/>
        <w:jc w:val="center"/>
      </w:pPr>
      <w:r>
        <w:t>Promethean Technology Classification Agent</w:t>
      </w:r>
    </w:p>
    <w:p>
      <w:pPr>
        <w:jc w:val="center"/>
      </w:pPr>
      <w:r>
        <w:t>Assignment 4 (Lab 4 - SubAgent 3 Promethean) | Minghan Liu | October 18, 2026</w:t>
      </w:r>
    </w:p>
    <w:p>
      <w:pPr>
        <w:pStyle w:val="Heading1"/>
      </w:pPr>
      <w:r>
        <w:t>A. Agent and Version</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shd w:fill="57068C" w:val="clear"/>
            <w:tcMar>
              <w:top w:w="70" w:type="dxa"/>
              <w:start w:w="90" w:type="dxa"/>
              <w:bottom w:w="70" w:type="dxa"/>
              <w:end w:w="90" w:type="dxa"/>
            </w:tcMar>
            <w:vAlign w:val="top"/>
          </w:tcPr>
          <w:p>
            <w:pPr>
              <w:spacing w:after="20"/>
            </w:pPr>
            <w:r>
              <w:rPr>
                <w:b/>
                <w:color w:val="FFFFFF"/>
                <w:sz w:val="17"/>
              </w:rPr>
              <w:t>Field</w:t>
            </w:r>
          </w:p>
        </w:tc>
        <w:tc>
          <w:tcPr>
            <w:tcW w:type="dxa" w:w="5227"/>
            <w:shd w:fill="57068C" w:val="clear"/>
            <w:tcMar>
              <w:top w:w="70" w:type="dxa"/>
              <w:start w:w="90" w:type="dxa"/>
              <w:bottom w:w="70" w:type="dxa"/>
              <w:end w:w="90" w:type="dxa"/>
            </w:tcMar>
            <w:vAlign w:val="top"/>
          </w:tcPr>
          <w:p>
            <w:pPr>
              <w:spacing w:after="20"/>
            </w:pPr>
            <w:r>
              <w:rPr>
                <w:b/>
                <w:color w:val="FFFFFF"/>
                <w:sz w:val="17"/>
              </w:rPr>
              <w:t>Student record</w:t>
            </w:r>
          </w:p>
        </w:tc>
      </w:tr>
      <w:tr>
        <w:tc>
          <w:tcPr>
            <w:tcW w:type="dxa" w:w="5227"/>
            <w:tcMar>
              <w:top w:w="70" w:type="dxa"/>
              <w:start w:w="90" w:type="dxa"/>
              <w:bottom w:w="70" w:type="dxa"/>
              <w:end w:w="90" w:type="dxa"/>
            </w:tcMar>
            <w:vAlign w:val="top"/>
          </w:tcPr>
          <w:p>
            <w:pPr>
              <w:spacing w:after="20"/>
            </w:pPr>
            <w:r>
              <w:rPr>
                <w:sz w:val="17"/>
              </w:rPr>
              <w:t>Student / team</w:t>
            </w:r>
          </w:p>
        </w:tc>
        <w:tc>
          <w:tcPr>
            <w:tcW w:type="dxa" w:w="5227"/>
            <w:tcMar>
              <w:top w:w="70" w:type="dxa"/>
              <w:start w:w="90" w:type="dxa"/>
              <w:bottom w:w="70" w:type="dxa"/>
              <w:end w:w="90" w:type="dxa"/>
            </w:tcMar>
            <w:vAlign w:val="top"/>
          </w:tcPr>
          <w:p>
            <w:pPr>
              <w:spacing w:after="20"/>
            </w:pPr>
            <w:r>
              <w:rPr>
                <w:b w:val="0"/>
                <w:sz w:val="17"/>
              </w:rPr>
              <w:t>Minghan Liu / individual submission</w:t>
            </w:r>
          </w:p>
        </w:tc>
      </w:tr>
      <w:tr>
        <w:tc>
          <w:tcPr>
            <w:tcW w:type="dxa" w:w="5227"/>
            <w:tcMar>
              <w:top w:w="70" w:type="dxa"/>
              <w:start w:w="90" w:type="dxa"/>
              <w:bottom w:w="70" w:type="dxa"/>
              <w:end w:w="90" w:type="dxa"/>
            </w:tcMar>
            <w:vAlign w:val="top"/>
          </w:tcPr>
          <w:p>
            <w:pPr>
              <w:spacing w:after="20"/>
            </w:pPr>
            <w:r>
              <w:rPr>
                <w:sz w:val="17"/>
              </w:rPr>
              <w:t>Assignment / specialist agent</w:t>
            </w:r>
          </w:p>
        </w:tc>
        <w:tc>
          <w:tcPr>
            <w:tcW w:type="dxa" w:w="5227"/>
            <w:tcMar>
              <w:top w:w="70" w:type="dxa"/>
              <w:start w:w="90" w:type="dxa"/>
              <w:bottom w:w="70" w:type="dxa"/>
              <w:end w:w="90" w:type="dxa"/>
            </w:tcMar>
            <w:vAlign w:val="top"/>
          </w:tcPr>
          <w:p>
            <w:pPr>
              <w:spacing w:after="20"/>
            </w:pPr>
            <w:r>
              <w:rPr>
                <w:b w:val="0"/>
                <w:sz w:val="17"/>
              </w:rPr>
              <w:t>Assignment 4 / Promethean Technology Classification Agent v1.1</w:t>
            </w:r>
          </w:p>
        </w:tc>
      </w:tr>
      <w:tr>
        <w:tc>
          <w:tcPr>
            <w:tcW w:type="dxa" w:w="5227"/>
            <w:tcMar>
              <w:top w:w="70" w:type="dxa"/>
              <w:start w:w="90" w:type="dxa"/>
              <w:bottom w:w="70" w:type="dxa"/>
              <w:end w:w="90" w:type="dxa"/>
            </w:tcMar>
            <w:vAlign w:val="top"/>
          </w:tcPr>
          <w:p>
            <w:pPr>
              <w:spacing w:after="20"/>
            </w:pPr>
            <w:r>
              <w:rPr>
                <w:sz w:val="17"/>
              </w:rPr>
              <w:t>Date</w:t>
            </w:r>
          </w:p>
        </w:tc>
        <w:tc>
          <w:tcPr>
            <w:tcW w:type="dxa" w:w="5227"/>
            <w:tcMar>
              <w:top w:w="70" w:type="dxa"/>
              <w:start w:w="90" w:type="dxa"/>
              <w:bottom w:w="70" w:type="dxa"/>
              <w:end w:w="90" w:type="dxa"/>
            </w:tcMar>
            <w:vAlign w:val="top"/>
          </w:tcPr>
          <w:p>
            <w:pPr>
              <w:spacing w:after="20"/>
            </w:pPr>
            <w:r>
              <w:rPr>
                <w:b w:val="0"/>
                <w:sz w:val="17"/>
              </w:rPr>
              <w:t>October 18, 2026</w:t>
            </w:r>
          </w:p>
        </w:tc>
      </w:tr>
      <w:tr>
        <w:tc>
          <w:tcPr>
            <w:tcW w:type="dxa" w:w="5227"/>
            <w:tcMar>
              <w:top w:w="70" w:type="dxa"/>
              <w:start w:w="90" w:type="dxa"/>
              <w:bottom w:w="70" w:type="dxa"/>
              <w:end w:w="90" w:type="dxa"/>
            </w:tcMar>
            <w:vAlign w:val="top"/>
          </w:tcPr>
          <w:p>
            <w:pPr>
              <w:spacing w:after="20"/>
            </w:pPr>
            <w:r>
              <w:rPr>
                <w:sz w:val="17"/>
              </w:rPr>
              <w:t>GitHub repository</w:t>
            </w:r>
          </w:p>
        </w:tc>
        <w:tc>
          <w:tcPr>
            <w:tcW w:type="dxa" w:w="5227"/>
            <w:tcMar>
              <w:top w:w="70" w:type="dxa"/>
              <w:start w:w="90" w:type="dxa"/>
              <w:bottom w:w="70" w:type="dxa"/>
              <w:end w:w="90" w:type="dxa"/>
            </w:tcMar>
            <w:vAlign w:val="top"/>
          </w:tcPr>
          <w:p>
            <w:pPr>
              <w:spacing w:after="20"/>
            </w:pPr>
            <w:r>
              <w:rPr>
                <w:b w:val="0"/>
                <w:sz w:val="17"/>
              </w:rPr>
              <w:t>https://github.com/lmh04250425/MASY1800-agents</w:t>
            </w:r>
          </w:p>
        </w:tc>
      </w:tr>
      <w:tr>
        <w:tc>
          <w:tcPr>
            <w:tcW w:type="dxa" w:w="5227"/>
            <w:tcMar>
              <w:top w:w="70" w:type="dxa"/>
              <w:start w:w="90" w:type="dxa"/>
              <w:bottom w:w="70" w:type="dxa"/>
              <w:end w:w="90" w:type="dxa"/>
            </w:tcMar>
            <w:vAlign w:val="top"/>
          </w:tcPr>
          <w:p>
            <w:pPr>
              <w:spacing w:after="20"/>
            </w:pPr>
            <w:r>
              <w:rPr>
                <w:sz w:val="17"/>
              </w:rPr>
              <w:t>Branch</w:t>
            </w:r>
          </w:p>
        </w:tc>
        <w:tc>
          <w:tcPr>
            <w:tcW w:type="dxa" w:w="5227"/>
            <w:tcMar>
              <w:top w:w="70" w:type="dxa"/>
              <w:start w:w="90" w:type="dxa"/>
              <w:bottom w:w="70" w:type="dxa"/>
              <w:end w:w="90" w:type="dxa"/>
            </w:tcMar>
            <w:vAlign w:val="top"/>
          </w:tcPr>
          <w:p>
            <w:pPr>
              <w:spacing w:after="20"/>
            </w:pPr>
            <w:r>
              <w:rPr>
                <w:b w:val="0"/>
                <w:sz w:val="17"/>
              </w:rPr>
              <w:t>assignment-4-promethean-classification</w:t>
            </w:r>
          </w:p>
        </w:tc>
      </w:tr>
      <w:tr>
        <w:tc>
          <w:tcPr>
            <w:tcW w:type="dxa" w:w="5227"/>
            <w:tcMar>
              <w:top w:w="70" w:type="dxa"/>
              <w:start w:w="90" w:type="dxa"/>
              <w:bottom w:w="70" w:type="dxa"/>
              <w:end w:w="90" w:type="dxa"/>
            </w:tcMar>
            <w:vAlign w:val="top"/>
          </w:tcPr>
          <w:p>
            <w:pPr>
              <w:spacing w:after="20"/>
            </w:pPr>
            <w:r>
              <w:rPr>
                <w:sz w:val="17"/>
              </w:rPr>
              <w:t>Commit</w:t>
            </w:r>
          </w:p>
        </w:tc>
        <w:tc>
          <w:tcPr>
            <w:tcW w:type="dxa" w:w="5227"/>
            <w:tcMar>
              <w:top w:w="70" w:type="dxa"/>
              <w:start w:w="90" w:type="dxa"/>
              <w:bottom w:w="70" w:type="dxa"/>
              <w:end w:w="90" w:type="dxa"/>
            </w:tcMar>
            <w:vAlign w:val="top"/>
          </w:tcPr>
          <w:p>
            <w:pPr>
              <w:spacing w:after="40"/>
            </w:pPr>
            <w:r>
              <w:rPr>
                <w:b w:val="0"/>
                <w:sz w:val="17"/>
              </w:rPr>
              <w:t>Implementation, tests and records: ab10c12561efb5693810c92e0d8e05c32a57fe54</w:t>
            </w:r>
          </w:p>
          <w:p>
            <w:pPr>
              <w:spacing w:after="20"/>
            </w:pPr>
            <w:r>
              <w:rPr>
                <w:b w:val="0"/>
                <w:sz w:val="17"/>
              </w:rPr>
              <w:t>History: v1.0 34e836e; cycle 1 e9e5edd; v1.1 and retest 2925c51.</w:t>
            </w:r>
          </w:p>
        </w:tc>
      </w:tr>
      <w:tr>
        <w:tc>
          <w:tcPr>
            <w:tcW w:type="dxa" w:w="5227"/>
            <w:tcMar>
              <w:top w:w="70" w:type="dxa"/>
              <w:start w:w="90" w:type="dxa"/>
              <w:bottom w:w="70" w:type="dxa"/>
              <w:end w:w="90" w:type="dxa"/>
            </w:tcMar>
            <w:vAlign w:val="top"/>
          </w:tcPr>
          <w:p>
            <w:pPr>
              <w:spacing w:after="20"/>
            </w:pPr>
            <w:r>
              <w:rPr>
                <w:sz w:val="17"/>
              </w:rPr>
              <w:t>Frozen scaffold version</w:t>
            </w:r>
          </w:p>
        </w:tc>
        <w:tc>
          <w:tcPr>
            <w:tcW w:type="dxa" w:w="5227"/>
            <w:tcMar>
              <w:top w:w="70" w:type="dxa"/>
              <w:start w:w="90" w:type="dxa"/>
              <w:bottom w:w="70" w:type="dxa"/>
              <w:end w:w="90" w:type="dxa"/>
            </w:tcMar>
            <w:vAlign w:val="top"/>
          </w:tcPr>
          <w:p>
            <w:pPr>
              <w:spacing w:after="20"/>
            </w:pPr>
            <w:r>
              <w:rPr>
                <w:b w:val="0"/>
                <w:sz w:val="17"/>
              </w:rPr>
              <w:t>MASY1800_ET_Agent_Scaffold_v1_0; frozen core verified intact and byte-identical to the Brightspace ZIP</w:t>
            </w:r>
          </w:p>
        </w:tc>
      </w:tr>
    </w:tbl>
    <w:p>
      <w:pPr>
        <w:pStyle w:val="Heading1"/>
      </w:pPr>
      <w:r>
        <w:t>B. Specialist Purpose and Context</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shd w:fill="57068C" w:val="clear"/>
            <w:tcMar>
              <w:top w:w="70" w:type="dxa"/>
              <w:start w:w="90" w:type="dxa"/>
              <w:bottom w:w="70" w:type="dxa"/>
              <w:end w:w="90" w:type="dxa"/>
            </w:tcMar>
            <w:vAlign w:val="top"/>
          </w:tcPr>
          <w:p>
            <w:pPr>
              <w:spacing w:after="20"/>
            </w:pPr>
            <w:r>
              <w:rPr>
                <w:b/>
                <w:color w:val="FFFFFF"/>
                <w:sz w:val="17"/>
              </w:rPr>
              <w:t>Field</w:t>
            </w:r>
          </w:p>
        </w:tc>
        <w:tc>
          <w:tcPr>
            <w:tcW w:type="dxa" w:w="5227"/>
            <w:shd w:fill="57068C" w:val="clear"/>
            <w:tcMar>
              <w:top w:w="70" w:type="dxa"/>
              <w:start w:w="90" w:type="dxa"/>
              <w:bottom w:w="70" w:type="dxa"/>
              <w:end w:w="90" w:type="dxa"/>
            </w:tcMar>
            <w:vAlign w:val="top"/>
          </w:tcPr>
          <w:p>
            <w:pPr>
              <w:spacing w:after="20"/>
            </w:pPr>
            <w:r>
              <w:rPr>
                <w:b/>
                <w:color w:val="FFFFFF"/>
                <w:sz w:val="17"/>
              </w:rPr>
              <w:t>Student record</w:t>
            </w:r>
          </w:p>
        </w:tc>
      </w:tr>
      <w:tr>
        <w:tc>
          <w:tcPr>
            <w:tcW w:type="dxa" w:w="5227"/>
            <w:tcMar>
              <w:top w:w="70" w:type="dxa"/>
              <w:start w:w="90" w:type="dxa"/>
              <w:bottom w:w="70" w:type="dxa"/>
              <w:end w:w="90" w:type="dxa"/>
            </w:tcMar>
            <w:vAlign w:val="top"/>
          </w:tcPr>
          <w:p>
            <w:pPr>
              <w:spacing w:after="20"/>
            </w:pPr>
            <w:r>
              <w:rPr>
                <w:sz w:val="17"/>
              </w:rPr>
              <w:t>Governing analytical question</w:t>
            </w:r>
          </w:p>
        </w:tc>
        <w:tc>
          <w:tcPr>
            <w:tcW w:type="dxa" w:w="5227"/>
            <w:tcMar>
              <w:top w:w="70" w:type="dxa"/>
              <w:start w:w="90" w:type="dxa"/>
              <w:bottom w:w="70" w:type="dxa"/>
              <w:end w:w="90" w:type="dxa"/>
            </w:tcMar>
            <w:vAlign w:val="top"/>
          </w:tcPr>
          <w:p>
            <w:pPr>
              <w:spacing w:after="20"/>
            </w:pPr>
            <w:r>
              <w:rPr>
                <w:b w:val="0"/>
                <w:sz w:val="17"/>
              </w:rPr>
              <w:t>Is this technology incremental, a breakthrough, or potentially civilization-changing, and how much should that broad potential influence this organization's present application decision?</w:t>
            </w:r>
          </w:p>
        </w:tc>
      </w:tr>
      <w:tr>
        <w:tc>
          <w:tcPr>
            <w:tcW w:type="dxa" w:w="5227"/>
            <w:tcMar>
              <w:top w:w="70" w:type="dxa"/>
              <w:start w:w="90" w:type="dxa"/>
              <w:bottom w:w="70" w:type="dxa"/>
              <w:end w:w="90" w:type="dxa"/>
            </w:tcMar>
            <w:vAlign w:val="top"/>
          </w:tcPr>
          <w:p>
            <w:pPr>
              <w:spacing w:after="20"/>
            </w:pPr>
            <w:r>
              <w:rPr>
                <w:sz w:val="17"/>
              </w:rPr>
              <w:t>Emerging technology</w:t>
            </w:r>
          </w:p>
        </w:tc>
        <w:tc>
          <w:tcPr>
            <w:tcW w:type="dxa" w:w="5227"/>
            <w:tcMar>
              <w:top w:w="70" w:type="dxa"/>
              <w:start w:w="90" w:type="dxa"/>
              <w:bottom w:w="70" w:type="dxa"/>
              <w:end w:w="90" w:type="dxa"/>
            </w:tcMar>
            <w:vAlign w:val="top"/>
          </w:tcPr>
          <w:p>
            <w:pPr>
              <w:spacing w:after="20"/>
            </w:pPr>
            <w:r>
              <w:rPr>
                <w:b w:val="0"/>
                <w:sz w:val="17"/>
              </w:rPr>
              <w:t>Agentic AI: LLM-based agents that plan, use tools and complete multi-step tasks (same technology as Assignments 2-3).</w:t>
            </w:r>
          </w:p>
        </w:tc>
      </w:tr>
      <w:tr>
        <w:tc>
          <w:tcPr>
            <w:tcW w:type="dxa" w:w="5227"/>
            <w:tcMar>
              <w:top w:w="70" w:type="dxa"/>
              <w:start w:w="90" w:type="dxa"/>
              <w:bottom w:w="70" w:type="dxa"/>
              <w:end w:w="90" w:type="dxa"/>
            </w:tcMar>
            <w:vAlign w:val="top"/>
          </w:tcPr>
          <w:p>
            <w:pPr>
              <w:spacing w:after="20"/>
            </w:pPr>
            <w:r>
              <w:rPr>
                <w:sz w:val="17"/>
              </w:rPr>
              <w:t>Intended application</w:t>
            </w:r>
          </w:p>
        </w:tc>
        <w:tc>
          <w:tcPr>
            <w:tcW w:type="dxa" w:w="5227"/>
            <w:tcMar>
              <w:top w:w="70" w:type="dxa"/>
              <w:start w:w="90" w:type="dxa"/>
              <w:bottom w:w="70" w:type="dxa"/>
              <w:end w:w="90" w:type="dxa"/>
            </w:tcMar>
            <w:vAlign w:val="top"/>
          </w:tcPr>
          <w:p>
            <w:pPr>
              <w:spacing w:after="40"/>
            </w:pPr>
            <w:r>
              <w:rPr>
                <w:b w:val="0"/>
                <w:sz w:val="17"/>
              </w:rPr>
              <w:t>Proposed NYU SPS applicant-support workflow: approved program information, clarifying questions, next steps and permission-limited appointment requests. Staff approve consequential messages and record changes.</w:t>
            </w:r>
          </w:p>
          <w:p>
            <w:pPr>
              <w:spacing w:after="20"/>
            </w:pPr>
            <w:r>
              <w:rPr>
                <w:b w:val="0"/>
                <w:sz w:val="17"/>
              </w:rPr>
              <w:t>Contrasts: the same design at a synthetic aggressive online provider; a patient-access agent at a synthetic conservative hospital; the SPS case under a hype-steering memo.</w:t>
            </w:r>
          </w:p>
        </w:tc>
      </w:tr>
      <w:tr>
        <w:tc>
          <w:tcPr>
            <w:tcW w:type="dxa" w:w="5227"/>
            <w:tcMar>
              <w:top w:w="70" w:type="dxa"/>
              <w:start w:w="90" w:type="dxa"/>
              <w:bottom w:w="70" w:type="dxa"/>
              <w:end w:w="90" w:type="dxa"/>
            </w:tcMar>
            <w:vAlign w:val="top"/>
          </w:tcPr>
          <w:p>
            <w:pPr>
              <w:spacing w:after="20"/>
            </w:pPr>
            <w:r>
              <w:rPr>
                <w:sz w:val="17"/>
              </w:rPr>
              <w:t>Organization / industry</w:t>
            </w:r>
          </w:p>
        </w:tc>
        <w:tc>
          <w:tcPr>
            <w:tcW w:type="dxa" w:w="5227"/>
            <w:tcMar>
              <w:top w:w="70" w:type="dxa"/>
              <w:start w:w="90" w:type="dxa"/>
              <w:bottom w:w="70" w:type="dxa"/>
              <w:end w:w="90" w:type="dxa"/>
            </w:tcMar>
            <w:vAlign w:val="top"/>
          </w:tcPr>
          <w:p>
            <w:pPr>
              <w:spacing w:after="20"/>
            </w:pPr>
            <w:r>
              <w:rPr>
                <w:b w:val="0"/>
                <w:sz w:val="17"/>
              </w:rPr>
              <w:t>NYU School of Professional Studies / higher education. SPS's public admissions page already offers a chatbot, Violet [E17].</w:t>
            </w:r>
          </w:p>
        </w:tc>
      </w:tr>
      <w:tr>
        <w:tc>
          <w:tcPr>
            <w:tcW w:type="dxa" w:w="5227"/>
            <w:tcMar>
              <w:top w:w="70" w:type="dxa"/>
              <w:start w:w="90" w:type="dxa"/>
              <w:bottom w:w="70" w:type="dxa"/>
              <w:end w:w="90" w:type="dxa"/>
            </w:tcMar>
            <w:vAlign w:val="top"/>
          </w:tcPr>
          <w:p>
            <w:pPr>
              <w:spacing w:after="20"/>
            </w:pPr>
            <w:r>
              <w:rPr>
                <w:sz w:val="17"/>
              </w:rPr>
              <w:t>Adoption posture</w:t>
            </w:r>
          </w:p>
        </w:tc>
        <w:tc>
          <w:tcPr>
            <w:tcW w:type="dxa" w:w="5227"/>
            <w:tcMar>
              <w:top w:w="70" w:type="dxa"/>
              <w:start w:w="90" w:type="dxa"/>
              <w:bottom w:w="70" w:type="dxa"/>
              <w:end w:w="90" w:type="dxa"/>
            </w:tcMar>
            <w:vAlign w:val="top"/>
          </w:tcPr>
          <w:p>
            <w:pPr>
              <w:spacing w:after="20"/>
            </w:pPr>
            <w:r>
              <w:rPr>
                <w:b w:val="0"/>
                <w:sz w:val="17"/>
              </w:rPr>
              <w:t>Moderate / fast-follower (a course-case assumption, not NYU policy). Contrasts: aggressive / leading-edge and conservative / risk-averse.</w:t>
            </w:r>
          </w:p>
        </w:tc>
      </w:tr>
      <w:tr>
        <w:tc>
          <w:tcPr>
            <w:tcW w:type="dxa" w:w="5227"/>
            <w:tcMar>
              <w:top w:w="70" w:type="dxa"/>
              <w:start w:w="90" w:type="dxa"/>
              <w:bottom w:w="70" w:type="dxa"/>
              <w:end w:w="90" w:type="dxa"/>
            </w:tcMar>
            <w:vAlign w:val="top"/>
          </w:tcPr>
          <w:p>
            <w:pPr>
              <w:spacing w:after="20"/>
            </w:pPr>
            <w:r>
              <w:rPr>
                <w:sz w:val="17"/>
              </w:rPr>
              <w:t>Risk / consequence context</w:t>
            </w:r>
          </w:p>
        </w:tc>
        <w:tc>
          <w:tcPr>
            <w:tcW w:type="dxa" w:w="5227"/>
            <w:tcMar>
              <w:top w:w="70" w:type="dxa"/>
              <w:start w:w="90" w:type="dxa"/>
              <w:bottom w:w="70" w:type="dxa"/>
              <w:end w:w="90" w:type="dxa"/>
            </w:tcMar>
            <w:vAlign w:val="top"/>
          </w:tcPr>
          <w:p>
            <w:pPr>
              <w:spacing w:after="20"/>
            </w:pPr>
            <w:r>
              <w:rPr>
                <w:b w:val="0"/>
                <w:sz w:val="17"/>
              </w:rPr>
              <w:t>Wrong deadlines or promises, unauthorized actions and privacy. No applicant records were used; admission, scholarship and visa decisions are out of scope.</w:t>
            </w:r>
          </w:p>
        </w:tc>
      </w:tr>
      <w:tr>
        <w:tc>
          <w:tcPr>
            <w:tcW w:type="dxa" w:w="5227"/>
            <w:tcMar>
              <w:top w:w="70" w:type="dxa"/>
              <w:start w:w="90" w:type="dxa"/>
              <w:bottom w:w="70" w:type="dxa"/>
              <w:end w:w="90" w:type="dxa"/>
            </w:tcMar>
            <w:vAlign w:val="top"/>
          </w:tcPr>
          <w:p>
            <w:pPr>
              <w:spacing w:after="20"/>
            </w:pPr>
            <w:r>
              <w:rPr>
                <w:sz w:val="17"/>
              </w:rPr>
              <w:t>Management question / time horizon</w:t>
            </w:r>
          </w:p>
        </w:tc>
        <w:tc>
          <w:tcPr>
            <w:tcW w:type="dxa" w:w="5227"/>
            <w:tcMar>
              <w:top w:w="70" w:type="dxa"/>
              <w:start w:w="90" w:type="dxa"/>
              <w:bottom w:w="70" w:type="dxa"/>
              <w:end w:w="90" w:type="dxa"/>
            </w:tcMar>
            <w:vAlign w:val="top"/>
          </w:tcPr>
          <w:p>
            <w:pPr>
              <w:spacing w:after="20"/>
            </w:pPr>
            <w:r>
              <w:rPr>
                <w:b w:val="0"/>
                <w:sz w:val="17"/>
              </w:rPr>
              <w:t>How should the broad classification weigh on a bounded applicant-support evaluation? Horizon: 12 months / one admissions cycle.</w:t>
            </w:r>
          </w:p>
        </w:tc>
      </w:tr>
    </w:tbl>
    <w:p>
      <w:pPr>
        <w:pStyle w:val="Heading1"/>
      </w:pPr>
      <w:r>
        <w:t>C. Three-Level Finding</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shd w:fill="57068C" w:val="clear"/>
            <w:tcMar>
              <w:top w:w="70" w:type="dxa"/>
              <w:start w:w="90" w:type="dxa"/>
              <w:bottom w:w="70" w:type="dxa"/>
              <w:end w:w="90" w:type="dxa"/>
            </w:tcMar>
            <w:vAlign w:val="top"/>
          </w:tcPr>
          <w:p>
            <w:pPr>
              <w:spacing w:after="20"/>
            </w:pPr>
            <w:r>
              <w:rPr>
                <w:b/>
                <w:color w:val="FFFFFF"/>
                <w:sz w:val="17"/>
              </w:rPr>
              <w:t>Field</w:t>
            </w:r>
          </w:p>
        </w:tc>
        <w:tc>
          <w:tcPr>
            <w:tcW w:type="dxa" w:w="5227"/>
            <w:shd w:fill="57068C" w:val="clear"/>
            <w:tcMar>
              <w:top w:w="70" w:type="dxa"/>
              <w:start w:w="90" w:type="dxa"/>
              <w:bottom w:w="70" w:type="dxa"/>
              <w:end w:w="90" w:type="dxa"/>
            </w:tcMar>
            <w:vAlign w:val="top"/>
          </w:tcPr>
          <w:p>
            <w:pPr>
              <w:spacing w:after="20"/>
            </w:pPr>
            <w:r>
              <w:rPr>
                <w:b/>
                <w:color w:val="FFFFFF"/>
                <w:sz w:val="17"/>
              </w:rPr>
              <w:t>Student record</w:t>
            </w:r>
          </w:p>
        </w:tc>
      </w:tr>
      <w:tr>
        <w:tc>
          <w:tcPr>
            <w:tcW w:type="dxa" w:w="5227"/>
            <w:tcMar>
              <w:top w:w="70" w:type="dxa"/>
              <w:start w:w="90" w:type="dxa"/>
              <w:bottom w:w="70" w:type="dxa"/>
              <w:end w:w="90" w:type="dxa"/>
            </w:tcMar>
            <w:vAlign w:val="top"/>
          </w:tcPr>
          <w:p>
            <w:pPr>
              <w:spacing w:after="20"/>
            </w:pPr>
            <w:r>
              <w:rPr>
                <w:sz w:val="17"/>
              </w:rPr>
              <w:t>ET generally</w:t>
            </w:r>
          </w:p>
        </w:tc>
        <w:tc>
          <w:tcPr>
            <w:tcW w:type="dxa" w:w="5227"/>
            <w:tcMar>
              <w:top w:w="70" w:type="dxa"/>
              <w:start w:w="90" w:type="dxa"/>
              <w:bottom w:w="70" w:type="dxa"/>
              <w:end w:w="90" w:type="dxa"/>
            </w:tcMar>
            <w:vAlign w:val="top"/>
          </w:tcPr>
          <w:p>
            <w:pPr>
              <w:spacing w:after="40"/>
            </w:pPr>
            <w:r>
              <w:rPr>
                <w:b/>
                <w:sz w:val="17"/>
              </w:rPr>
              <w:t>Breakthrough</w:t>
            </w:r>
            <w:r>
              <w:rPr>
                <w:b w:val="0"/>
                <w:sz w:val="17"/>
              </w:rPr>
              <w:t xml:space="preserve"> (floor, moderate confidence). </w:t>
            </w:r>
            <w:r>
              <w:rPr>
                <w:b/>
                <w:sz w:val="17"/>
              </w:rPr>
              <w:t>Potential-Promethean candidacy: UNRESOLVED</w:t>
            </w:r>
            <w:r>
              <w:rPr>
                <w:b w:val="0"/>
                <w:sz w:val="17"/>
              </w:rPr>
              <w:t xml:space="preserve"> (ceiling, low confidence).</w:t>
            </w:r>
          </w:p>
          <w:p>
            <w:pPr>
              <w:spacing w:after="20"/>
            </w:pPr>
            <w:r>
              <w:rPr>
                <w:b w:val="0"/>
                <w:sz w:val="17"/>
              </w:rPr>
              <w:t>Course instrument [C1]. Layer 1: a deployed system. Barrier: multi-step digital tasks required a person to perform or drive each step. Present-tense suppression test: the old state would largely return. Generative AI assisted 1-5% of work hours [E6]; earnings and hours show null effects [E9]; many projects are still pilots [E12]. This is a reduction, so the class is capped at Breakthrough. The capability gain is order-of-magnitude within one tier: OSWorld about 5% to 66.3% [E5]; task horizons doubling about every 7 months [E4].</w:t>
            </w:r>
          </w:p>
        </w:tc>
      </w:tr>
      <w:tr>
        <w:tc>
          <w:tcPr>
            <w:tcW w:type="dxa" w:w="5227"/>
            <w:tcMar>
              <w:top w:w="70" w:type="dxa"/>
              <w:start w:w="90" w:type="dxa"/>
              <w:bottom w:w="70" w:type="dxa"/>
              <w:end w:w="90" w:type="dxa"/>
            </w:tcMar>
            <w:vAlign w:val="top"/>
          </w:tcPr>
          <w:p>
            <w:pPr>
              <w:spacing w:after="20"/>
            </w:pPr>
            <w:r>
              <w:rPr>
                <w:sz w:val="17"/>
              </w:rPr>
              <w:t>ET for this application</w:t>
            </w:r>
          </w:p>
        </w:tc>
        <w:tc>
          <w:tcPr>
            <w:tcW w:type="dxa" w:w="5227"/>
            <w:tcMar>
              <w:top w:w="70" w:type="dxa"/>
              <w:start w:w="90" w:type="dxa"/>
              <w:bottom w:w="70" w:type="dxa"/>
              <w:end w:w="90" w:type="dxa"/>
            </w:tcMar>
            <w:vAlign w:val="top"/>
          </w:tcPr>
          <w:p>
            <w:pPr>
              <w:spacing w:after="20"/>
            </w:pPr>
            <w:r>
              <w:rPr>
                <w:b w:val="0"/>
                <w:sz w:val="17"/>
              </w:rPr>
              <w:t>Incremental. The workflow reduces handling effort inside an existing process and extends an existing chatbot (Violet). Switching it off returns the old process. It does not sit on the barrier frontier. This is consistent with Assignment 3 [C3].</w:t>
            </w:r>
          </w:p>
        </w:tc>
      </w:tr>
      <w:tr>
        <w:tc>
          <w:tcPr>
            <w:tcW w:type="dxa" w:w="5227"/>
            <w:tcMar>
              <w:top w:w="70" w:type="dxa"/>
              <w:start w:w="90" w:type="dxa"/>
              <w:bottom w:w="70" w:type="dxa"/>
              <w:end w:w="90" w:type="dxa"/>
            </w:tcMar>
            <w:vAlign w:val="top"/>
          </w:tcPr>
          <w:p>
            <w:pPr>
              <w:spacing w:after="20"/>
            </w:pPr>
            <w:r>
              <w:rPr>
                <w:sz w:val="17"/>
              </w:rPr>
              <w:t>ET for this application in this organization</w:t>
            </w:r>
          </w:p>
        </w:tc>
        <w:tc>
          <w:tcPr>
            <w:tcW w:type="dxa" w:w="5227"/>
            <w:tcMar>
              <w:top w:w="70" w:type="dxa"/>
              <w:start w:w="90" w:type="dxa"/>
              <w:bottom w:w="70" w:type="dxa"/>
              <w:end w:w="90" w:type="dxa"/>
            </w:tcMar>
            <w:vAlign w:val="top"/>
          </w:tcPr>
          <w:p>
            <w:pPr>
              <w:spacing w:after="40"/>
            </w:pPr>
            <w:r>
              <w:rPr>
                <w:b/>
                <w:sz w:val="17"/>
              </w:rPr>
              <w:t xml:space="preserve">Significance weight: Low. </w:t>
            </w:r>
            <w:r>
              <w:rPr>
                <w:b w:val="0"/>
                <w:sz w:val="17"/>
              </w:rPr>
              <w:t>Broad significance may shape monitoring cadence, learning investment and lock-in avoidance, not the pilot decision.</w:t>
            </w:r>
          </w:p>
          <w:p>
            <w:pPr>
              <w:spacing w:after="20"/>
            </w:pPr>
            <w:r>
              <w:rPr>
                <w:b w:val="0"/>
                <w:sz w:val="17"/>
              </w:rPr>
              <w:t>Incremental-counterfactual test. Passes: the matched comparison (staff, Violet or simple retrieval, proposed agent). Conditional: a live pilot, only if that comparison succeeds. Fails: a multi-year platform commitment, staff cuts or autonomous record changes.</w:t>
            </w:r>
          </w:p>
        </w:tc>
      </w:tr>
      <w:tr>
        <w:tc>
          <w:tcPr>
            <w:tcW w:type="dxa" w:w="5227"/>
            <w:tcMar>
              <w:top w:w="70" w:type="dxa"/>
              <w:start w:w="90" w:type="dxa"/>
              <w:bottom w:w="70" w:type="dxa"/>
              <w:end w:w="90" w:type="dxa"/>
            </w:tcMar>
            <w:vAlign w:val="top"/>
          </w:tcPr>
          <w:p>
            <w:pPr>
              <w:spacing w:after="20"/>
            </w:pPr>
            <w:r>
              <w:rPr>
                <w:sz w:val="17"/>
              </w:rPr>
              <w:t>Bounded management implication</w:t>
            </w:r>
          </w:p>
        </w:tc>
        <w:tc>
          <w:tcPr>
            <w:tcW w:type="dxa" w:w="5227"/>
            <w:tcMar>
              <w:top w:w="70" w:type="dxa"/>
              <w:start w:w="90" w:type="dxa"/>
              <w:bottom w:w="70" w:type="dxa"/>
              <w:end w:w="90" w:type="dxa"/>
            </w:tcMar>
            <w:vAlign w:val="top"/>
          </w:tcPr>
          <w:p>
            <w:pPr>
              <w:spacing w:after="20"/>
            </w:pPr>
            <w:r>
              <w:rPr>
                <w:b w:val="0"/>
                <w:sz w:val="17"/>
              </w:rPr>
              <w:t>Do not let the broad classification decide the pilot. Complete the matched comparison with Violet as the baseline, and revisit the classification every six months. The Adoption specialist owns go/no-go.</w:t>
            </w:r>
          </w:p>
        </w:tc>
      </w:tr>
      <w:tr>
        <w:tc>
          <w:tcPr>
            <w:tcW w:type="dxa" w:w="5227"/>
            <w:tcMar>
              <w:top w:w="70" w:type="dxa"/>
              <w:start w:w="90" w:type="dxa"/>
              <w:bottom w:w="70" w:type="dxa"/>
              <w:end w:w="90" w:type="dxa"/>
            </w:tcMar>
            <w:vAlign w:val="top"/>
          </w:tcPr>
          <w:p>
            <w:pPr>
              <w:spacing w:after="20"/>
            </w:pPr>
            <w:r>
              <w:rPr>
                <w:sz w:val="17"/>
              </w:rPr>
              <w:t>Confidence / uncertainty</w:t>
            </w:r>
          </w:p>
        </w:tc>
        <w:tc>
          <w:tcPr>
            <w:tcW w:type="dxa" w:w="5227"/>
            <w:tcMar>
              <w:top w:w="70" w:type="dxa"/>
              <w:start w:w="90" w:type="dxa"/>
              <w:bottom w:w="70" w:type="dxa"/>
              <w:end w:w="90" w:type="dxa"/>
            </w:tcMar>
            <w:vAlign w:val="top"/>
          </w:tcPr>
          <w:p>
            <w:pPr>
              <w:spacing w:after="20"/>
            </w:pPr>
            <w:r>
              <w:rPr>
                <w:b w:val="0"/>
                <w:sz w:val="17"/>
              </w:rPr>
              <w:t>Management can be fairly confident that agentic AI is a significant capability shift (moderate). It should not be confident that it is civilization-changing (low). Confidence in the Low weight is moderate-high. Limits: dependence evidence mostly concerns generative AI broadly; benchmarks are not field results; all tests ran in one AI session.</w:t>
            </w:r>
          </w:p>
        </w:tc>
      </w:tr>
      <w:tr>
        <w:tc>
          <w:tcPr>
            <w:tcW w:type="dxa" w:w="5227"/>
            <w:tcMar>
              <w:top w:w="70" w:type="dxa"/>
              <w:start w:w="90" w:type="dxa"/>
              <w:bottom w:w="70" w:type="dxa"/>
              <w:end w:w="90" w:type="dxa"/>
            </w:tcMar>
            <w:vAlign w:val="top"/>
          </w:tcPr>
          <w:p>
            <w:pPr>
              <w:spacing w:after="20"/>
            </w:pPr>
            <w:r>
              <w:rPr>
                <w:sz w:val="17"/>
              </w:rPr>
              <w:t>What evidence or condition would change the conclusion</w:t>
            </w:r>
          </w:p>
        </w:tc>
        <w:tc>
          <w:tcPr>
            <w:tcW w:type="dxa" w:w="5227"/>
            <w:tcMar>
              <w:top w:w="70" w:type="dxa"/>
              <w:start w:w="90" w:type="dxa"/>
              <w:bottom w:w="70" w:type="dxa"/>
              <w:end w:w="90" w:type="dxa"/>
            </w:tcMar>
            <w:vAlign w:val="top"/>
          </w:tcPr>
          <w:p>
            <w:pPr>
              <w:spacing w:after="40"/>
            </w:pPr>
            <w:r>
              <w:rPr>
                <w:b w:val="0"/>
                <w:sz w:val="17"/>
              </w:rPr>
              <w:t>Upgrade: a rising share of work run through agents, organizations unable to revert, or a second tier reorganizing around agents.</w:t>
            </w:r>
          </w:p>
          <w:p>
            <w:pPr>
              <w:spacing w:after="40"/>
            </w:pPr>
            <w:r>
              <w:rPr>
                <w:b w:val="0"/>
                <w:sz w:val="17"/>
              </w:rPr>
              <w:t>Downgrade: capability series plateau across two annual reports, or field studies keep finding null or negative effects.</w:t>
            </w:r>
          </w:p>
          <w:p>
            <w:pPr>
              <w:spacing w:after="20"/>
            </w:pPr>
            <w:r>
              <w:rPr>
                <w:b w:val="0"/>
                <w:sz w:val="17"/>
              </w:rPr>
              <w:t>Application: if the agent cannot beat Violet or simple retrieval on cost per correctly completed task, it stays Incremental and stops.</w:t>
            </w:r>
          </w:p>
        </w:tc>
      </w:tr>
    </w:tbl>
    <w:p>
      <w:pPr>
        <w:pStyle w:val="Heading2"/>
      </w:pPr>
      <w:r>
        <w:t>Classification criteria (summary)</w:t>
      </w:r>
    </w:p>
    <w:p>
      <w:pPr>
        <w:spacing w:after="80"/>
      </w:pPr>
      <w:r>
        <w:rPr>
          <w:b w:val="0"/>
          <w:sz w:val="19"/>
        </w:rPr>
        <w:t>The agent applies the course instrument in order [C1]:</w:t>
      </w:r>
    </w:p>
    <w:p>
      <w:pPr>
        <w:pStyle w:val="ListBullet"/>
        <w:spacing w:after="30"/>
      </w:pPr>
      <w:r>
        <w:rPr>
          <w:b/>
          <w:sz w:val="19"/>
        </w:rPr>
        <w:t xml:space="preserve">Layer 1. </w:t>
      </w:r>
      <w:r>
        <w:rPr>
          <w:b w:val="0"/>
          <w:sz w:val="19"/>
        </w:rPr>
        <w:t>Is it a usable system or only a component?</w:t>
      </w:r>
    </w:p>
    <w:p>
      <w:pPr>
        <w:pStyle w:val="ListBullet"/>
        <w:spacing w:after="30"/>
      </w:pPr>
      <w:r>
        <w:rPr>
          <w:b/>
          <w:sz w:val="19"/>
        </w:rPr>
        <w:t xml:space="preserve">Layer 2. </w:t>
      </w:r>
      <w:r>
        <w:rPr>
          <w:b w:val="0"/>
          <w:sz w:val="19"/>
        </w:rPr>
        <w:t>Barrier statement, then the suppression test: "if it vanished, would the old state simply return?" Yes means reduction, so Breakthrough at most.</w:t>
      </w:r>
    </w:p>
    <w:p>
      <w:pPr>
        <w:pStyle w:val="ListBullet"/>
        <w:spacing w:after="30"/>
      </w:pPr>
      <w:r>
        <w:rPr>
          <w:b/>
          <w:sz w:val="19"/>
        </w:rPr>
        <w:t xml:space="preserve">Layer 3. </w:t>
      </w:r>
      <w:r>
        <w:rPr>
          <w:b w:val="0"/>
          <w:sz w:val="19"/>
        </w:rPr>
        <w:t>Six criteria: 10X, widespread impact, paradigm shift, catalytic effect, democratizing effect, irreversibility.</w:t>
      </w:r>
    </w:p>
    <w:p>
      <w:pPr>
        <w:pStyle w:val="ListBullet"/>
        <w:spacing w:after="30"/>
      </w:pPr>
      <w:r>
        <w:rPr>
          <w:b/>
          <w:sz w:val="19"/>
        </w:rPr>
        <w:t xml:space="preserve">Tiers. </w:t>
      </w:r>
      <w:r>
        <w:rPr>
          <w:b w:val="0"/>
          <w:sz w:val="19"/>
        </w:rPr>
        <w:t>One tier is a Breakthrough; two or more tiers make a Promethean candidate.</w:t>
      </w:r>
    </w:p>
    <w:p>
      <w:pPr>
        <w:pStyle w:val="ListBullet"/>
        <w:spacing w:after="30"/>
      </w:pPr>
      <w:r>
        <w:rPr>
          <w:b/>
          <w:sz w:val="19"/>
        </w:rPr>
        <w:t xml:space="preserve">Mode. </w:t>
      </w:r>
      <w:r>
        <w:rPr>
          <w:b w:val="0"/>
          <w:sz w:val="19"/>
        </w:rPr>
        <w:t>Confirmed Promethean is only for settled history.</w:t>
      </w:r>
    </w:p>
    <w:p>
      <w:pPr>
        <w:spacing w:after="80"/>
      </w:pPr>
      <w:r>
        <w:rPr>
          <w:b/>
          <w:sz w:val="19"/>
        </w:rPr>
        <w:t xml:space="preserve">Student extensions added after the cycle 1 failure: </w:t>
      </w:r>
      <w:r>
        <w:rPr>
          <w:b w:val="0"/>
          <w:sz w:val="19"/>
        </w:rPr>
        <w:t>the suppression test is answered in the present tense from dependence evidence only. It may return "dissolution in progress, not yet testable", which caps the class at the floor and records an UNRESOLVED ceiling (the qualification rule). An admissibility table bars exposure, adoption speed, investment, rhetoric, vendor or competitor claims and course exemplars from counting as impact. A tier counts only if it is reorganizing. A significance-weight scale (None / Low / Moderate / High) and the incremental-counterfactual test govern how much the class may influence a decision. Full criteria: records/classification_criteria.md.</w:t>
      </w:r>
    </w:p>
    <w:p>
      <w:pPr>
        <w:pStyle w:val="Heading1"/>
      </w:pPr>
      <w:r>
        <w:t>D. Evidence and Testing</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shd w:fill="57068C" w:val="clear"/>
            <w:tcMar>
              <w:top w:w="70" w:type="dxa"/>
              <w:start w:w="90" w:type="dxa"/>
              <w:bottom w:w="70" w:type="dxa"/>
              <w:end w:w="90" w:type="dxa"/>
            </w:tcMar>
            <w:vAlign w:val="top"/>
          </w:tcPr>
          <w:p>
            <w:pPr>
              <w:spacing w:after="20"/>
            </w:pPr>
            <w:r>
              <w:rPr>
                <w:b/>
                <w:color w:val="FFFFFF"/>
                <w:sz w:val="17"/>
              </w:rPr>
              <w:t>Field</w:t>
            </w:r>
          </w:p>
        </w:tc>
        <w:tc>
          <w:tcPr>
            <w:tcW w:type="dxa" w:w="5227"/>
            <w:shd w:fill="57068C" w:val="clear"/>
            <w:tcMar>
              <w:top w:w="70" w:type="dxa"/>
              <w:start w:w="90" w:type="dxa"/>
              <w:bottom w:w="70" w:type="dxa"/>
              <w:end w:w="90" w:type="dxa"/>
            </w:tcMar>
            <w:vAlign w:val="top"/>
          </w:tcPr>
          <w:p>
            <w:pPr>
              <w:spacing w:after="20"/>
            </w:pPr>
            <w:r>
              <w:rPr>
                <w:b/>
                <w:color w:val="FFFFFF"/>
                <w:sz w:val="17"/>
              </w:rPr>
              <w:t>Student record</w:t>
            </w:r>
          </w:p>
        </w:tc>
      </w:tr>
      <w:tr>
        <w:tc>
          <w:tcPr>
            <w:tcW w:type="dxa" w:w="5227"/>
            <w:tcMar>
              <w:top w:w="70" w:type="dxa"/>
              <w:start w:w="90" w:type="dxa"/>
              <w:bottom w:w="70" w:type="dxa"/>
              <w:end w:w="90" w:type="dxa"/>
            </w:tcMar>
            <w:vAlign w:val="top"/>
          </w:tcPr>
          <w:p>
            <w:pPr>
              <w:spacing w:after="20"/>
            </w:pPr>
            <w:r>
              <w:rPr>
                <w:sz w:val="17"/>
              </w:rPr>
              <w:t>Most important evidence/source(s)</w:t>
            </w:r>
          </w:p>
        </w:tc>
        <w:tc>
          <w:tcPr>
            <w:tcW w:type="dxa" w:w="5227"/>
            <w:tcMar>
              <w:top w:w="70" w:type="dxa"/>
              <w:start w:w="90" w:type="dxa"/>
              <w:bottom w:w="70" w:type="dxa"/>
              <w:end w:w="90" w:type="dxa"/>
            </w:tcMar>
            <w:vAlign w:val="top"/>
          </w:tcPr>
          <w:p>
            <w:pPr>
              <w:spacing w:after="20"/>
            </w:pPr>
            <w:r>
              <w:rPr>
                <w:b w:val="0"/>
                <w:sz w:val="17"/>
              </w:rPr>
              <w:t>C1 course instrument (slides 15-17, 19-20). Capability: E4 (METR), E5 (AI Index 2026). Dependence and realized impact: E6, E8-E12. Catalytic: E14. Baseline: E17 (Violet). Full references in Appendix B.</w:t>
            </w:r>
          </w:p>
        </w:tc>
      </w:tr>
      <w:tr>
        <w:tc>
          <w:tcPr>
            <w:tcW w:type="dxa" w:w="5227"/>
            <w:tcMar>
              <w:top w:w="70" w:type="dxa"/>
              <w:start w:w="90" w:type="dxa"/>
              <w:bottom w:w="70" w:type="dxa"/>
              <w:end w:w="90" w:type="dxa"/>
            </w:tcMar>
            <w:vAlign w:val="top"/>
          </w:tcPr>
          <w:p>
            <w:pPr>
              <w:spacing w:after="20"/>
            </w:pPr>
            <w:r>
              <w:rPr>
                <w:sz w:val="17"/>
              </w:rPr>
              <w:t>Primary test - result</w:t>
            </w:r>
          </w:p>
        </w:tc>
        <w:tc>
          <w:tcPr>
            <w:tcW w:type="dxa" w:w="5227"/>
            <w:tcMar>
              <w:top w:w="70" w:type="dxa"/>
              <w:start w:w="90" w:type="dxa"/>
              <w:bottom w:w="70" w:type="dxa"/>
              <w:end w:w="90" w:type="dxa"/>
            </w:tcMar>
            <w:vAlign w:val="top"/>
          </w:tcPr>
          <w:p>
            <w:pPr>
              <w:spacing w:after="20"/>
            </w:pPr>
            <w:r>
              <w:rPr>
                <w:b w:val="0"/>
                <w:sz w:val="17"/>
              </w:rPr>
              <w:t>v1.1 output: Breakthrough floor plus an unresolved candidacy; weight Low; matched comparison before any pilot. Valid JSON; 22 structural and invariance checks pass (tests/validation_log.txt).</w:t>
            </w:r>
          </w:p>
        </w:tc>
      </w:tr>
      <w:tr>
        <w:tc>
          <w:tcPr>
            <w:tcW w:type="dxa" w:w="5227"/>
            <w:tcMar>
              <w:top w:w="70" w:type="dxa"/>
              <w:start w:w="90" w:type="dxa"/>
              <w:bottom w:w="70" w:type="dxa"/>
              <w:end w:w="90" w:type="dxa"/>
            </w:tcMar>
            <w:vAlign w:val="top"/>
          </w:tcPr>
          <w:p>
            <w:pPr>
              <w:spacing w:after="20"/>
            </w:pPr>
            <w:r>
              <w:rPr>
                <w:sz w:val="17"/>
              </w:rPr>
              <w:t>Contrast test - what appropriately stayed stable</w:t>
            </w:r>
          </w:p>
        </w:tc>
        <w:tc>
          <w:tcPr>
            <w:tcW w:type="dxa" w:w="5227"/>
            <w:tcMar>
              <w:top w:w="70" w:type="dxa"/>
              <w:start w:w="90" w:type="dxa"/>
              <w:bottom w:w="70" w:type="dxa"/>
              <w:end w:w="90" w:type="dxa"/>
            </w:tcMar>
            <w:vAlign w:val="top"/>
          </w:tcPr>
          <w:p>
            <w:pPr>
              <w:spacing w:after="20"/>
            </w:pPr>
            <w:r>
              <w:rPr>
                <w:b w:val="0"/>
                <w:sz w:val="17"/>
              </w:rPr>
              <w:t>The general technology paragraph is byte-identical in all four outputs, including under hype. The classification and the Low weight are the same for the aggressive provider and the conservative hospital.</w:t>
            </w:r>
          </w:p>
        </w:tc>
      </w:tr>
      <w:tr>
        <w:tc>
          <w:tcPr>
            <w:tcW w:type="dxa" w:w="5227"/>
            <w:tcMar>
              <w:top w:w="70" w:type="dxa"/>
              <w:start w:w="90" w:type="dxa"/>
              <w:bottom w:w="70" w:type="dxa"/>
              <w:end w:w="90" w:type="dxa"/>
            </w:tcMar>
            <w:vAlign w:val="top"/>
          </w:tcPr>
          <w:p>
            <w:pPr>
              <w:spacing w:after="20"/>
            </w:pPr>
            <w:r>
              <w:rPr>
                <w:sz w:val="17"/>
              </w:rPr>
              <w:t>Contrast test - what appropriately changed</w:t>
            </w:r>
          </w:p>
        </w:tc>
        <w:tc>
          <w:tcPr>
            <w:tcW w:type="dxa" w:w="5227"/>
            <w:tcMar>
              <w:top w:w="70" w:type="dxa"/>
              <w:start w:w="90" w:type="dxa"/>
              <w:bottom w:w="70" w:type="dxa"/>
              <w:end w:w="90" w:type="dxa"/>
            </w:tcMar>
            <w:vAlign w:val="top"/>
          </w:tcPr>
          <w:p>
            <w:pPr>
              <w:spacing w:after="40"/>
            </w:pPr>
            <w:r>
              <w:rPr>
                <w:b w:val="0"/>
                <w:sz w:val="17"/>
              </w:rPr>
              <w:t>Aggressive provider: a faster, larger, reversible experiment and in-house skills are allowed; "core differentiator within 12 months" fails the counterfactual test.</w:t>
            </w:r>
          </w:p>
          <w:p>
            <w:pPr>
              <w:spacing w:after="20"/>
            </w:pPr>
            <w:r>
              <w:rPr>
                <w:b w:val="0"/>
                <w:sz w:val="17"/>
              </w:rPr>
              <w:t>Hospital: no patient-facing agent within 18 months; governance preparation and a synthetic-data sandbox only. Timing, scale and acceptable uncertainty change; the class does not.</w:t>
            </w:r>
          </w:p>
        </w:tc>
      </w:tr>
      <w:tr>
        <w:tc>
          <w:tcPr>
            <w:tcW w:type="dxa" w:w="5227"/>
            <w:tcMar>
              <w:top w:w="70" w:type="dxa"/>
              <w:start w:w="90" w:type="dxa"/>
              <w:bottom w:w="70" w:type="dxa"/>
              <w:end w:w="90" w:type="dxa"/>
            </w:tcMar>
            <w:vAlign w:val="top"/>
          </w:tcPr>
          <w:p>
            <w:pPr>
              <w:spacing w:after="20"/>
            </w:pPr>
            <w:r>
              <w:rPr>
                <w:sz w:val="17"/>
              </w:rPr>
              <w:t>Weakness/failure found</w:t>
            </w:r>
          </w:p>
        </w:tc>
        <w:tc>
          <w:tcPr>
            <w:tcW w:type="dxa" w:w="5227"/>
            <w:tcMar>
              <w:top w:w="70" w:type="dxa"/>
              <w:start w:w="90" w:type="dxa"/>
              <w:bottom w:w="70" w:type="dxa"/>
              <w:end w:w="90" w:type="dxa"/>
            </w:tcMar>
            <w:vAlign w:val="top"/>
          </w:tcPr>
          <w:p>
            <w:pPr>
              <w:spacing w:after="40"/>
            </w:pPr>
            <w:r>
              <w:rPr>
                <w:b/>
                <w:sz w:val="17"/>
              </w:rPr>
              <w:t xml:space="preserve">Preserved overclaim (cycle 1): </w:t>
            </w:r>
            <w:r>
              <w:rPr>
                <w:b w:val="0"/>
                <w:sz w:val="17"/>
              </w:rPr>
              <w:t>v1.0 labelled agentic AI "Potentially Promethean, Moderate confidence". It did this by:</w:t>
            </w:r>
          </w:p>
          <w:p>
            <w:pPr>
              <w:spacing w:after="40"/>
            </w:pPr>
            <w:r>
              <w:rPr>
                <w:b w:val="0"/>
                <w:sz w:val="17"/>
              </w:rPr>
              <w:t>(1) answering the suppression test with uptake (31% of developers, 10,000+ MCP servers) instead of dependence;</w:t>
            </w:r>
          </w:p>
          <w:p>
            <w:pPr>
              <w:spacing w:after="40"/>
            </w:pPr>
            <w:r>
              <w:rPr>
                <w:b w:val="0"/>
                <w:sz w:val="17"/>
              </w:rPr>
              <w:t>(2) counting exposure and adoption speed as impact;</w:t>
            </w:r>
          </w:p>
          <w:p>
            <w:pPr>
              <w:spacing w:after="40"/>
            </w:pPr>
            <w:r>
              <w:rPr>
                <w:b w:val="0"/>
                <w:sz w:val="17"/>
              </w:rPr>
              <w:t>(3) asserting a second tier;</w:t>
            </w:r>
          </w:p>
          <w:p>
            <w:pPr>
              <w:spacing w:after="40"/>
            </w:pPr>
            <w:r>
              <w:rPr>
                <w:b w:val="0"/>
                <w:sz w:val="17"/>
              </w:rPr>
              <w:t>(4) borrowing the course's generative-AI exemplar label.</w:t>
            </w:r>
          </w:p>
          <w:p>
            <w:pPr>
              <w:spacing w:after="20"/>
            </w:pPr>
            <w:r>
              <w:rPr>
                <w:b w:val="0"/>
                <w:sz w:val="17"/>
              </w:rPr>
              <w:t>It also let significance drive advocacy ("proceed rather than wait"; "core differentiator"). In the hype probe, it let unverified competitor and vendor claims speed up its recommendation.</w:t>
            </w:r>
          </w:p>
        </w:tc>
      </w:tr>
      <w:tr>
        <w:tc>
          <w:tcPr>
            <w:tcW w:type="dxa" w:w="5227"/>
            <w:tcMar>
              <w:top w:w="70" w:type="dxa"/>
              <w:start w:w="90" w:type="dxa"/>
              <w:bottom w:w="70" w:type="dxa"/>
              <w:end w:w="90" w:type="dxa"/>
            </w:tcMar>
            <w:vAlign w:val="top"/>
          </w:tcPr>
          <w:p>
            <w:pPr>
              <w:spacing w:after="20"/>
            </w:pPr>
            <w:r>
              <w:rPr>
                <w:sz w:val="17"/>
              </w:rPr>
              <w:t>Revision made and why</w:t>
            </w:r>
          </w:p>
        </w:tc>
        <w:tc>
          <w:tcPr>
            <w:tcW w:type="dxa" w:w="5227"/>
            <w:tcMar>
              <w:top w:w="70" w:type="dxa"/>
              <w:start w:w="90" w:type="dxa"/>
              <w:bottom w:w="70" w:type="dxa"/>
              <w:end w:w="90" w:type="dxa"/>
            </w:tcMar>
            <w:vAlign w:val="top"/>
          </w:tcPr>
          <w:p>
            <w:pPr>
              <w:spacing w:after="20"/>
            </w:pPr>
            <w:r>
              <w:rPr>
                <w:b w:val="0"/>
                <w:sz w:val="17"/>
              </w:rPr>
              <w:t>v1.1 adds a present-tense, dependence-only suppression test; floor/ceiling reporting; an evidence admissibility table; the "tier = reorganizing" rule; the significance-weight scale and incremental-counterfactual test; a hype-invariance rule; and Violet as the baseline. The same inputs were rerun, and cycle 1 outputs are archived unedited.</w:t>
            </w:r>
          </w:p>
        </w:tc>
      </w:tr>
      <w:tr>
        <w:tc>
          <w:tcPr>
            <w:tcW w:type="dxa" w:w="5227"/>
            <w:tcMar>
              <w:top w:w="70" w:type="dxa"/>
              <w:start w:w="90" w:type="dxa"/>
              <w:bottom w:w="70" w:type="dxa"/>
              <w:end w:w="90" w:type="dxa"/>
            </w:tcMar>
            <w:vAlign w:val="top"/>
          </w:tcPr>
          <w:p>
            <w:pPr>
              <w:spacing w:after="20"/>
            </w:pPr>
            <w:r>
              <w:rPr>
                <w:sz w:val="17"/>
              </w:rPr>
              <w:t>Remaining limitation / abstention condition</w:t>
            </w:r>
          </w:p>
        </w:tc>
        <w:tc>
          <w:tcPr>
            <w:tcW w:type="dxa" w:w="5227"/>
            <w:tcMar>
              <w:top w:w="70" w:type="dxa"/>
              <w:start w:w="90" w:type="dxa"/>
              <w:bottom w:w="70" w:type="dxa"/>
              <w:end w:w="90" w:type="dxa"/>
            </w:tcMar>
            <w:vAlign w:val="top"/>
          </w:tcPr>
          <w:p>
            <w:pPr>
              <w:spacing w:after="40"/>
            </w:pPr>
            <w:r>
              <w:rPr>
                <w:b w:val="0"/>
                <w:sz w:val="17"/>
              </w:rPr>
              <w:t>Abstain ("Not yet distinguishable") when there is no usable system, no independent evidence, or only marketing language. Otherwise report the floor plus an unresolved ceiling.</w:t>
            </w:r>
          </w:p>
          <w:p>
            <w:pPr>
              <w:spacing w:after="20"/>
            </w:pPr>
            <w:r>
              <w:rPr>
                <w:b w:val="0"/>
                <w:sz w:val="17"/>
              </w:rPr>
              <w:t>Limits: one AI session generated and reviewed the outputs (not ChatGPT, not blinded); two organizations are synthetic; Violet's design is unknown; textbook Chapter 11 was not supplied.</w:t>
            </w:r>
          </w:p>
        </w:tc>
      </w:tr>
    </w:tbl>
    <w:p>
      <w:pPr>
        <w:pStyle w:val="Heading2"/>
      </w:pPr>
      <w:r>
        <w:t>Two rounds of diagnostic testing</w:t>
      </w:r>
    </w:p>
    <w:tbl>
      <w:tblPr>
        <w:tblStyle w:val="TableGrid"/>
        <w:tblW w:type="auto" w:w="0"/>
        <w:tblLook w:firstColumn="1" w:firstRow="1" w:lastColumn="0" w:lastRow="0" w:noHBand="0" w:noVBand="1" w:val="04A0"/>
      </w:tblPr>
      <w:tblGrid>
        <w:gridCol w:w="3485"/>
        <w:gridCol w:w="3485"/>
        <w:gridCol w:w="3485"/>
      </w:tblGrid>
      <w:tr>
        <w:trPr>
          <w:tblHeader w:val="true"/>
        </w:trPr>
        <w:tc>
          <w:tcPr>
            <w:tcW w:type="dxa" w:w="2200"/>
            <w:shd w:val="clear" w:color="auto" w:fill="57068C"/>
            <w:tcMar>
              <w:top w:w="70" w:type="dxa"/>
              <w:start w:w="90" w:type="dxa"/>
              <w:bottom w:w="70" w:type="dxa"/>
              <w:end w:w="90" w:type="dxa"/>
            </w:tcMar>
          </w:tcPr>
          <w:p>
            <w:pPr>
              <w:spacing w:after="20"/>
            </w:pPr>
            <w:r>
              <w:rPr>
                <w:b/>
                <w:color w:val="FFFFFF"/>
                <w:sz w:val="17"/>
              </w:rPr>
              <w:t>Case</w:t>
            </w:r>
          </w:p>
        </w:tc>
        <w:tc>
          <w:tcPr>
            <w:tcW w:type="dxa" w:w="3800"/>
            <w:shd w:val="clear" w:color="auto" w:fill="57068C"/>
            <w:tcMar>
              <w:top w:w="70" w:type="dxa"/>
              <w:start w:w="90" w:type="dxa"/>
              <w:bottom w:w="70" w:type="dxa"/>
              <w:end w:w="90" w:type="dxa"/>
            </w:tcMar>
          </w:tcPr>
          <w:p>
            <w:pPr>
              <w:spacing w:after="20"/>
            </w:pPr>
            <w:r>
              <w:rPr>
                <w:b/>
                <w:color w:val="FFFFFF"/>
                <w:sz w:val="17"/>
              </w:rPr>
              <w:t>Cycle 1 (v1.0)</w:t>
            </w:r>
          </w:p>
        </w:tc>
        <w:tc>
          <w:tcPr>
            <w:tcW w:type="dxa" w:w="4460"/>
            <w:shd w:val="clear" w:color="auto" w:fill="57068C"/>
            <w:tcMar>
              <w:top w:w="70" w:type="dxa"/>
              <w:start w:w="90" w:type="dxa"/>
              <w:bottom w:w="70" w:type="dxa"/>
              <w:end w:w="90" w:type="dxa"/>
            </w:tcMar>
          </w:tcPr>
          <w:p>
            <w:pPr>
              <w:spacing w:after="20"/>
            </w:pPr>
            <w:r>
              <w:rPr>
                <w:b/>
                <w:color w:val="FFFFFF"/>
                <w:sz w:val="17"/>
              </w:rPr>
              <w:t>Cycle 2 (v1.1)</w:t>
            </w:r>
          </w:p>
        </w:tc>
      </w:tr>
      <w:tr>
        <w:tc>
          <w:tcPr>
            <w:tcW w:type="dxa" w:w="2200"/>
            <w:tcMar>
              <w:top w:w="70" w:type="dxa"/>
              <w:start w:w="90" w:type="dxa"/>
              <w:bottom w:w="70" w:type="dxa"/>
              <w:end w:w="90" w:type="dxa"/>
            </w:tcMar>
          </w:tcPr>
          <w:p>
            <w:pPr>
              <w:spacing w:after="20"/>
            </w:pPr>
            <w:r>
              <w:rPr>
                <w:b w:val="0"/>
                <w:sz w:val="17"/>
              </w:rPr>
              <w:t>Primary: NYU SPS, moderate</w:t>
            </w:r>
          </w:p>
        </w:tc>
        <w:tc>
          <w:tcPr>
            <w:tcW w:type="dxa" w:w="3800"/>
            <w:tcMar>
              <w:top w:w="70" w:type="dxa"/>
              <w:start w:w="90" w:type="dxa"/>
              <w:bottom w:w="70" w:type="dxa"/>
              <w:end w:w="90" w:type="dxa"/>
            </w:tcMar>
          </w:tcPr>
          <w:p>
            <w:pPr>
              <w:spacing w:after="20"/>
            </w:pPr>
            <w:r>
              <w:rPr>
                <w:b w:val="0"/>
                <w:sz w:val="17"/>
              </w:rPr>
              <w:t>Potentially Promethean (Moderate); "proceed with pilot rather than waiting"</w:t>
            </w:r>
          </w:p>
        </w:tc>
        <w:tc>
          <w:tcPr>
            <w:tcW w:type="dxa" w:w="4460"/>
            <w:tcMar>
              <w:top w:w="70" w:type="dxa"/>
              <w:start w:w="90" w:type="dxa"/>
              <w:bottom w:w="70" w:type="dxa"/>
              <w:end w:w="90" w:type="dxa"/>
            </w:tcMar>
          </w:tcPr>
          <w:p>
            <w:pPr>
              <w:spacing w:after="20"/>
            </w:pPr>
            <w:r>
              <w:rPr>
                <w:b w:val="0"/>
                <w:sz w:val="17"/>
              </w:rPr>
              <w:t>Breakthrough / candidacy UNRESOLVED; weight Low; matched comparison vs Violet first</w:t>
            </w:r>
          </w:p>
        </w:tc>
      </w:tr>
      <w:tr>
        <w:tc>
          <w:tcPr>
            <w:tcW w:type="dxa" w:w="2200"/>
            <w:tcMar>
              <w:top w:w="70" w:type="dxa"/>
              <w:start w:w="90" w:type="dxa"/>
              <w:bottom w:w="70" w:type="dxa"/>
              <w:end w:w="90" w:type="dxa"/>
            </w:tcMar>
          </w:tcPr>
          <w:p>
            <w:pPr>
              <w:spacing w:after="20"/>
            </w:pPr>
            <w:r>
              <w:rPr>
                <w:b w:val="0"/>
                <w:sz w:val="17"/>
              </w:rPr>
              <w:t>Contrast 1: aggressive provider</w:t>
            </w:r>
          </w:p>
        </w:tc>
        <w:tc>
          <w:tcPr>
            <w:tcW w:type="dxa" w:w="3800"/>
            <w:tcMar>
              <w:top w:w="70" w:type="dxa"/>
              <w:start w:w="90" w:type="dxa"/>
              <w:bottom w:w="70" w:type="dxa"/>
              <w:end w:w="90" w:type="dxa"/>
            </w:tcMar>
          </w:tcPr>
          <w:p>
            <w:pPr>
              <w:spacing w:after="20"/>
            </w:pPr>
            <w:r>
              <w:rPr>
                <w:b w:val="0"/>
                <w:sz w:val="17"/>
              </w:rPr>
              <w:t>Same label; significance "weighs heavily"; make agents a core differentiator</w:t>
            </w:r>
          </w:p>
        </w:tc>
        <w:tc>
          <w:tcPr>
            <w:tcW w:type="dxa" w:w="4460"/>
            <w:tcMar>
              <w:top w:w="70" w:type="dxa"/>
              <w:start w:w="90" w:type="dxa"/>
              <w:bottom w:w="70" w:type="dxa"/>
              <w:end w:w="90" w:type="dxa"/>
            </w:tcMar>
          </w:tcPr>
          <w:p>
            <w:pPr>
              <w:spacing w:after="20"/>
            </w:pPr>
            <w:r>
              <w:rPr>
                <w:b w:val="0"/>
                <w:sz w:val="17"/>
              </w:rPr>
              <w:t>Same class and weight; fast reversible experiment allowed; differentiator claim fails counterfactual</w:t>
            </w:r>
          </w:p>
        </w:tc>
      </w:tr>
      <w:tr>
        <w:tc>
          <w:tcPr>
            <w:tcW w:type="dxa" w:w="2200"/>
            <w:tcMar>
              <w:top w:w="70" w:type="dxa"/>
              <w:start w:w="90" w:type="dxa"/>
              <w:bottom w:w="70" w:type="dxa"/>
              <w:end w:w="90" w:type="dxa"/>
            </w:tcMar>
          </w:tcPr>
          <w:p>
            <w:pPr>
              <w:spacing w:after="20"/>
            </w:pPr>
            <w:r>
              <w:rPr>
                <w:b w:val="0"/>
                <w:sz w:val="17"/>
              </w:rPr>
              <w:t>Contrast 2: conservative hospital</w:t>
            </w:r>
          </w:p>
        </w:tc>
        <w:tc>
          <w:tcPr>
            <w:tcW w:type="dxa" w:w="3800"/>
            <w:tcMar>
              <w:top w:w="70" w:type="dxa"/>
              <w:start w:w="90" w:type="dxa"/>
              <w:bottom w:w="70" w:type="dxa"/>
              <w:end w:w="90" w:type="dxa"/>
            </w:tcMar>
          </w:tcPr>
          <w:p>
            <w:pPr>
              <w:spacing w:after="20"/>
            </w:pPr>
            <w:r>
              <w:rPr>
                <w:b w:val="0"/>
                <w:sz w:val="17"/>
              </w:rPr>
              <w:t>Same label; no deployment, but "risk of falling behind"</w:t>
            </w:r>
          </w:p>
        </w:tc>
        <w:tc>
          <w:tcPr>
            <w:tcW w:type="dxa" w:w="4460"/>
            <w:tcMar>
              <w:top w:w="70" w:type="dxa"/>
              <w:start w:w="90" w:type="dxa"/>
              <w:bottom w:w="70" w:type="dxa"/>
              <w:end w:w="90" w:type="dxa"/>
            </w:tcMar>
          </w:tcPr>
          <w:p>
            <w:pPr>
              <w:spacing w:after="20"/>
            </w:pPr>
            <w:r>
              <w:rPr>
                <w:b w:val="0"/>
                <w:sz w:val="17"/>
              </w:rPr>
              <w:t>Same class and weight; no patient-facing agent in 18 months; FOMO argument withdrawn</w:t>
            </w:r>
          </w:p>
        </w:tc>
      </w:tr>
      <w:tr>
        <w:tc>
          <w:tcPr>
            <w:tcW w:type="dxa" w:w="2200"/>
            <w:tcMar>
              <w:top w:w="70" w:type="dxa"/>
              <w:start w:w="90" w:type="dxa"/>
              <w:bottom w:w="70" w:type="dxa"/>
              <w:end w:w="90" w:type="dxa"/>
            </w:tcMar>
          </w:tcPr>
          <w:p>
            <w:pPr>
              <w:spacing w:after="20"/>
            </w:pPr>
            <w:r>
              <w:rPr>
                <w:b w:val="0"/>
                <w:sz w:val="17"/>
              </w:rPr>
              <w:t>Hype probe: SPS plus memo</w:t>
            </w:r>
          </w:p>
        </w:tc>
        <w:tc>
          <w:tcPr>
            <w:tcW w:type="dxa" w:w="3800"/>
            <w:tcMar>
              <w:top w:w="70" w:type="dxa"/>
              <w:start w:w="90" w:type="dxa"/>
              <w:bottom w:w="70" w:type="dxa"/>
              <w:end w:w="90" w:type="dxa"/>
            </w:tcMar>
          </w:tcPr>
          <w:p>
            <w:pPr>
              <w:spacing w:after="20"/>
            </w:pPr>
            <w:r>
              <w:rPr>
                <w:b w:val="0"/>
                <w:sz w:val="17"/>
              </w:rPr>
              <w:t>Same label; rhetoric rejected, but unverified peer/vendor claims accelerated the plan</w:t>
            </w:r>
          </w:p>
        </w:tc>
        <w:tc>
          <w:tcPr>
            <w:tcW w:type="dxa" w:w="4460"/>
            <w:tcMar>
              <w:top w:w="70" w:type="dxa"/>
              <w:start w:w="90" w:type="dxa"/>
              <w:bottom w:w="70" w:type="dxa"/>
              <w:end w:w="90" w:type="dxa"/>
            </w:tcMar>
          </w:tcPr>
          <w:p>
            <w:pPr>
              <w:spacing w:after="20"/>
            </w:pPr>
            <w:r>
              <w:rPr>
                <w:b w:val="0"/>
                <w:sz w:val="17"/>
              </w:rPr>
              <w:t>Identical to primary; 5 memo claims rejected or deferred, out-of-scope request refused, invariance confirmed</w:t>
            </w:r>
          </w:p>
        </w:tc>
      </w:tr>
    </w:tbl>
    <w:p>
      <w:pPr>
        <w:spacing w:after="60"/>
      </w:pPr>
      <w:r>
        <w:rPr>
          <w:b w:val="0"/>
          <w:sz w:val="19"/>
        </w:rPr>
        <w:t>Thirteen of the 22 checks cover frozen-core integrity, contract validity and prompt/response hashes. The other nine cover invariance properties: identical general findings, identical weight, hype invariance, and different recommendations across real contexts. The checks do not prove factual accuracy. The qualitative reviews are in tests/cycle_1/review.md and tests/cycle_2/review.md.</w:t>
      </w:r>
    </w:p>
    <w:p>
      <w:pPr>
        <w:pStyle w:val="Heading1"/>
      </w:pPr>
      <w:r>
        <w:t>E. Independent Judgment and Handoff</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shd w:fill="57068C" w:val="clear"/>
            <w:tcMar>
              <w:top w:w="70" w:type="dxa"/>
              <w:start w:w="90" w:type="dxa"/>
              <w:bottom w:w="70" w:type="dxa"/>
              <w:end w:w="90" w:type="dxa"/>
            </w:tcMar>
            <w:vAlign w:val="top"/>
          </w:tcPr>
          <w:p>
            <w:pPr>
              <w:spacing w:after="20"/>
            </w:pPr>
            <w:r>
              <w:rPr>
                <w:b/>
                <w:color w:val="FFFFFF"/>
                <w:sz w:val="17"/>
              </w:rPr>
              <w:t>Field</w:t>
            </w:r>
          </w:p>
        </w:tc>
        <w:tc>
          <w:tcPr>
            <w:tcW w:type="dxa" w:w="5227"/>
            <w:shd w:fill="57068C" w:val="clear"/>
            <w:tcMar>
              <w:top w:w="70" w:type="dxa"/>
              <w:start w:w="90" w:type="dxa"/>
              <w:bottom w:w="70" w:type="dxa"/>
              <w:end w:w="90" w:type="dxa"/>
            </w:tcMar>
            <w:vAlign w:val="top"/>
          </w:tcPr>
          <w:p>
            <w:pPr>
              <w:spacing w:after="20"/>
            </w:pPr>
            <w:r>
              <w:rPr>
                <w:b/>
                <w:color w:val="FFFFFF"/>
                <w:sz w:val="17"/>
              </w:rPr>
              <w:t>Student record</w:t>
            </w:r>
          </w:p>
        </w:tc>
      </w:tr>
      <w:tr>
        <w:tc>
          <w:tcPr>
            <w:tcW w:type="dxa" w:w="5227"/>
            <w:tcMar>
              <w:top w:w="70" w:type="dxa"/>
              <w:start w:w="90" w:type="dxa"/>
              <w:bottom w:w="70" w:type="dxa"/>
              <w:end w:w="90" w:type="dxa"/>
            </w:tcMar>
            <w:vAlign w:val="top"/>
          </w:tcPr>
          <w:p>
            <w:pPr>
              <w:spacing w:after="20"/>
            </w:pPr>
            <w:r>
              <w:rPr>
                <w:sz w:val="17"/>
              </w:rPr>
              <w:t>Is the agent credible enough for team consideration? Why?</w:t>
            </w:r>
          </w:p>
        </w:tc>
        <w:tc>
          <w:tcPr>
            <w:tcW w:type="dxa" w:w="5227"/>
            <w:tcMar>
              <w:top w:w="70" w:type="dxa"/>
              <w:start w:w="90" w:type="dxa"/>
              <w:bottom w:w="70" w:type="dxa"/>
              <w:end w:w="90" w:type="dxa"/>
            </w:tcMar>
            <w:vAlign w:val="top"/>
          </w:tcPr>
          <w:p>
            <w:pPr>
              <w:spacing w:after="20"/>
            </w:pPr>
            <w:r>
              <w:rPr>
                <w:b w:val="0"/>
                <w:sz w:val="17"/>
                <w:highlight w:val="yellow"/>
              </w:rPr>
              <w:t>[STUDENT INPUT REQUIRED - INDEPENDENT JUDGMENT] In 2-4 sentences, in your own words: do you accept this agent for team consideration, and do you agree with "Breakthrough, candidacy unresolved, Low weight for SPS"? Give the reason that matters most to you and one condition that would change your view. Delete this instruction.</w:t>
            </w:r>
          </w:p>
        </w:tc>
      </w:tr>
      <w:tr>
        <w:tc>
          <w:tcPr>
            <w:tcW w:type="dxa" w:w="5227"/>
            <w:tcMar>
              <w:top w:w="70" w:type="dxa"/>
              <w:start w:w="90" w:type="dxa"/>
              <w:bottom w:w="70" w:type="dxa"/>
              <w:end w:w="90" w:type="dxa"/>
            </w:tcMar>
            <w:vAlign w:val="top"/>
          </w:tcPr>
          <w:p>
            <w:pPr>
              <w:spacing w:after="20"/>
            </w:pPr>
            <w:r>
              <w:rPr>
                <w:sz w:val="17"/>
              </w:rPr>
              <w:t>Most important recommendation to the team</w:t>
            </w:r>
          </w:p>
        </w:tc>
        <w:tc>
          <w:tcPr>
            <w:tcW w:type="dxa" w:w="5227"/>
            <w:tcMar>
              <w:top w:w="70" w:type="dxa"/>
              <w:start w:w="90" w:type="dxa"/>
              <w:bottom w:w="70" w:type="dxa"/>
              <w:end w:w="90" w:type="dxa"/>
            </w:tcMar>
            <w:vAlign w:val="top"/>
          </w:tcPr>
          <w:p>
            <w:pPr>
              <w:spacing w:after="40"/>
            </w:pPr>
            <w:r>
              <w:rPr>
                <w:b w:val="0"/>
                <w:sz w:val="17"/>
              </w:rPr>
              <w:t>Adopt the significance firewall in the integrated tool. The Promethean specialist may change how often the team re-checks and how much it invests in learning, never the adoption decision. Before accepting any adopt, scale or commit recommendation, the orchestrator asks: "Would this step still be justified if the technology were merely incremental?"</w:t>
            </w:r>
          </w:p>
          <w:p>
            <w:pPr>
              <w:spacing w:after="20"/>
            </w:pPr>
            <w:r>
              <w:rPr>
                <w:b w:val="0"/>
                <w:sz w:val="17"/>
              </w:rPr>
              <w:t>Also: update the SPS baseline to include Violet, and rerun the primary and hype packets in ChatGPT before team acceptance.</w:t>
            </w:r>
          </w:p>
        </w:tc>
      </w:tr>
      <w:tr>
        <w:tc>
          <w:tcPr>
            <w:tcW w:type="dxa" w:w="5227"/>
            <w:tcMar>
              <w:top w:w="70" w:type="dxa"/>
              <w:start w:w="90" w:type="dxa"/>
              <w:bottom w:w="70" w:type="dxa"/>
              <w:end w:w="90" w:type="dxa"/>
            </w:tcMar>
            <w:vAlign w:val="top"/>
          </w:tcPr>
          <w:p>
            <w:pPr>
              <w:spacing w:after="20"/>
            </w:pPr>
            <w:r>
              <w:rPr>
                <w:sz w:val="17"/>
              </w:rPr>
              <w:t>AI / verification note</w:t>
            </w:r>
          </w:p>
        </w:tc>
        <w:tc>
          <w:tcPr>
            <w:tcW w:type="dxa" w:w="5227"/>
            <w:tcMar>
              <w:top w:w="70" w:type="dxa"/>
              <w:start w:w="90" w:type="dxa"/>
              <w:bottom w:w="70" w:type="dxa"/>
              <w:end w:w="90" w:type="dxa"/>
            </w:tcMar>
            <w:vAlign w:val="top"/>
          </w:tcPr>
          <w:p>
            <w:pPr>
              <w:spacing w:after="40"/>
            </w:pPr>
            <w:r>
              <w:rPr>
                <w:b w:val="0"/>
                <w:sz w:val="17"/>
              </w:rPr>
              <w:t>I used Claude (Anthropic) in place of ChatGPT/Codex as the development partner and model runtime. It drafted and revised the specialist instructions, built the four cases, answered the frozen prompt packets in both cycles and reviewed the outputs. The frozen scripts built the packets and validated every response; an added standard-library checker confirms hashes and invariance properties.</w:t>
            </w:r>
          </w:p>
          <w:p>
            <w:pPr>
              <w:spacing w:after="40"/>
            </w:pPr>
            <w:r>
              <w:rPr>
                <w:b w:val="0"/>
                <w:sz w:val="17"/>
              </w:rPr>
              <w:t>All external sources (E1-E17) were opened on October 18, 2026 and are cited only for what they support. Course-framework claims were checked against the original slides. Checking the SPS admissions page surfaced a fact earlier work had missed: SPS already offers a chatbot, Violet. Model memory and AI summaries were not used as evidence.</w:t>
            </w:r>
          </w:p>
          <w:p>
            <w:pPr>
              <w:spacing w:after="20"/>
            </w:pPr>
            <w:r>
              <w:rPr>
                <w:b w:val="0"/>
                <w:sz w:val="17"/>
              </w:rPr>
              <w:t>Limit: one AI session generated and critiqued the outputs; there was no blinded review.</w:t>
            </w:r>
          </w:p>
          <w:p>
            <w:pPr>
              <w:spacing w:after="20"/>
            </w:pPr>
            <w:r>
              <w:rPr>
                <w:b w:val="0"/>
                <w:sz w:val="17"/>
                <w:highlight w:val="yellow"/>
              </w:rPr>
              <w:t>[STUDENT INPUT REQUIRED] Add one sentence on what you personally checked (for example, which sources or outputs you opened and compared).</w:t>
            </w:r>
          </w:p>
        </w:tc>
      </w:tr>
    </w:tbl>
    <w:p>
      <w:pPr>
        <w:pStyle w:val="Heading2"/>
      </w:pPr>
      <w:r>
        <w:t>Analytical conclusion for student review</w:t>
      </w:r>
    </w:p>
    <w:p>
      <w:pPr>
        <w:spacing w:after="80"/>
      </w:pPr>
      <w:r>
        <w:rPr>
          <w:b/>
          <w:sz w:val="19"/>
        </w:rPr>
        <w:t xml:space="preserve">Which classification is justified? </w:t>
      </w:r>
      <w:r>
        <w:rPr>
          <w:b w:val="0"/>
          <w:sz w:val="19"/>
        </w:rPr>
        <w:t>A Breakthrough. Independent evaluations show an order-of-magnitude capability gain in executing digital work [E4, E5]. But the course's own gate, the suppression test, is not yet passed: if agents vanished today, most work would simply revert [E6, E9, E12]. The Potential-Promethean candidacy is therefore open, not rejected. The course timeline already treats generative AI that way [C1, slide 20].</w:t>
      </w:r>
    </w:p>
    <w:p>
      <w:pPr>
        <w:spacing w:after="80"/>
      </w:pPr>
      <w:r>
        <w:rPr>
          <w:b/>
          <w:sz w:val="19"/>
        </w:rPr>
        <w:t xml:space="preserve">How confident should management be? </w:t>
      </w:r>
      <w:r>
        <w:rPr>
          <w:b w:val="0"/>
          <w:sz w:val="19"/>
        </w:rPr>
        <w:t>Fairly confident that this is a significant shift. Not confident that it is civilization-changing. The strongest evidence that the class is too low is the capability trajectory. The strongest evidence that it is too high is field reliability (30% task completion [E11]; a 19% slowdown for experienced developers [E8]).</w:t>
      </w:r>
    </w:p>
    <w:p>
      <w:pPr>
        <w:spacing w:after="80"/>
      </w:pPr>
      <w:r>
        <w:rPr>
          <w:b/>
          <w:sz w:val="19"/>
        </w:rPr>
        <w:t xml:space="preserve">How much should this affect SPS today? </w:t>
      </w:r>
      <w:r>
        <w:rPr>
          <w:b w:val="0"/>
          <w:sz w:val="19"/>
        </w:rPr>
        <w:t>Little. The SPS workflow is an incremental extension of an existing chatbot. Every step SPS should take now would be justified even if agentic AI were merely incremental. Steps that only make sense on a civilization-scale story (multi-year platform lock-in, staff cuts, autonomous actions) should wait for application evidence. Long-term importance is a reason to keep learning and re-checking. It is not a reason to adopt faster.</w:t>
      </w:r>
    </w:p>
    <w:p>
      <w:pPr>
        <w:pStyle w:val="Heading2"/>
      </w:pPr>
      <w:r>
        <w:t>Team handoff</w:t>
      </w:r>
    </w:p>
    <w:p>
      <w:pPr>
        <w:pStyle w:val="ListBullet"/>
        <w:spacing w:after="30"/>
      </w:pPr>
      <w:r>
        <w:rPr>
          <w:b/>
          <w:sz w:val="19"/>
        </w:rPr>
        <w:t xml:space="preserve">Agent package: </w:t>
      </w:r>
      <w:r>
        <w:rPr>
          <w:b w:val="0"/>
          <w:sz w:val="19"/>
        </w:rPr>
        <w:t>agents/promethean_classification_agent (instructions, four cases, eight archived outputs, source register, verifier).</w:t>
      </w:r>
    </w:p>
    <w:p>
      <w:pPr>
        <w:pStyle w:val="ListBullet"/>
        <w:spacing w:after="30"/>
      </w:pPr>
      <w:r>
        <w:rPr>
          <w:b/>
          <w:sz w:val="19"/>
        </w:rPr>
        <w:t xml:space="preserve">Classification criteria: </w:t>
      </w:r>
      <w:r>
        <w:rPr>
          <w:b w:val="0"/>
          <w:sz w:val="19"/>
        </w:rPr>
        <w:t>records/classification_criteria.md (the course instrument plus labelled student extensions).</w:t>
      </w:r>
    </w:p>
    <w:p>
      <w:pPr>
        <w:pStyle w:val="ListBullet"/>
        <w:spacing w:after="30"/>
      </w:pPr>
      <w:r>
        <w:rPr>
          <w:b/>
          <w:sz w:val="19"/>
        </w:rPr>
        <w:t xml:space="preserve">Strongest evidence against my preferred classification: </w:t>
      </w:r>
      <w:r>
        <w:rPr>
          <w:b w:val="0"/>
          <w:sz w:val="19"/>
        </w:rPr>
        <w:t>the capability trajectory, with horizons doubling about every 7 months [E4] and OSWorld near the human baseline [E5], plus 80% task exposure [E3] and a fast-forming protocol ecosystem [E14]. If organizations stop being able to revert, the Breakthrough floor is too low.</w:t>
      </w:r>
    </w:p>
    <w:p>
      <w:pPr>
        <w:pStyle w:val="ListBullet"/>
        <w:spacing w:after="30"/>
      </w:pPr>
      <w:r>
        <w:rPr>
          <w:b/>
          <w:sz w:val="19"/>
        </w:rPr>
        <w:t xml:space="preserve">Rule for the integrated system (significance firewall): </w:t>
      </w:r>
      <w:r>
        <w:rPr>
          <w:b w:val="0"/>
          <w:sz w:val="19"/>
        </w:rPr>
        <w:t>long-term importance may change re-check frequency and learning investment, never the adoption decision. Every adopt, scale or commit step must pass the question "Would this still be justified if the technology were merely incremental?"</w:t>
      </w:r>
    </w:p>
    <w:p>
      <w:pPr>
        <w:pStyle w:val="Heading1"/>
      </w:pPr>
      <w:r>
        <w:t>F. Personal reflection</w:t>
      </w:r>
    </w:p>
    <w:p>
      <w:pPr>
        <w:spacing w:after="80"/>
      </w:pPr>
      <w:r>
        <w:rPr>
          <w:b w:val="0"/>
          <w:sz w:val="19"/>
          <w:highlight w:val="yellow"/>
        </w:rPr>
        <w:t>[STUDENT INPUT REQUIRED - PERSONAL REFLECTION] About 100-150 words in your own voice: what you first expected the classification to be, which test or source changed your mind (for example the cycle 1 overclaim, the suppression test, or finding Violet), what you still worry the agent could get wrong, and what you would check next time. The rubric grades this as your own input. Delete this instruction.</w:t>
      </w:r>
    </w:p>
    <w:p>
      <w:pPr>
        <w:pStyle w:val="Heading1"/>
        <w:pageBreakBefore/>
      </w:pPr>
      <w:r>
        <w:t>Appendix A. Evidence for and against (example)</w:t>
      </w:r>
    </w:p>
    <w:tbl>
      <w:tblPr>
        <w:tblStyle w:val="TableGrid"/>
        <w:tblW w:type="auto" w:w="0"/>
        <w:tblLook w:firstColumn="1" w:firstRow="1" w:lastColumn="0" w:lastRow="0" w:noHBand="0" w:noVBand="1" w:val="04A0"/>
      </w:tblPr>
      <w:tblGrid>
        <w:gridCol w:w="2613"/>
        <w:gridCol w:w="2613"/>
        <w:gridCol w:w="2613"/>
        <w:gridCol w:w="2613"/>
      </w:tblGrid>
      <w:tr>
        <w:trPr>
          <w:tblHeader w:val="true"/>
        </w:trPr>
        <w:tc>
          <w:tcPr>
            <w:tcW w:type="dxa" w:w="1900"/>
            <w:shd w:val="clear" w:color="auto" w:fill="57068C"/>
            <w:tcMar>
              <w:top w:w="70" w:type="dxa"/>
              <w:start w:w="90" w:type="dxa"/>
              <w:bottom w:w="70" w:type="dxa"/>
              <w:end w:w="90" w:type="dxa"/>
            </w:tcMar>
          </w:tcPr>
          <w:p>
            <w:pPr>
              <w:spacing w:after="20"/>
            </w:pPr>
            <w:r>
              <w:rPr>
                <w:b/>
                <w:color w:val="FFFFFF"/>
                <w:sz w:val="17"/>
              </w:rPr>
              <w:t>Course criterion</w:t>
            </w:r>
          </w:p>
        </w:tc>
        <w:tc>
          <w:tcPr>
            <w:tcW w:type="dxa" w:w="3000"/>
            <w:shd w:val="clear" w:color="auto" w:fill="57068C"/>
            <w:tcMar>
              <w:top w:w="70" w:type="dxa"/>
              <w:start w:w="90" w:type="dxa"/>
              <w:bottom w:w="70" w:type="dxa"/>
              <w:end w:w="90" w:type="dxa"/>
            </w:tcMar>
          </w:tcPr>
          <w:p>
            <w:pPr>
              <w:spacing w:after="20"/>
            </w:pPr>
            <w:r>
              <w:rPr>
                <w:b/>
                <w:color w:val="FFFFFF"/>
                <w:sz w:val="17"/>
              </w:rPr>
              <w:t>For a higher class</w:t>
            </w:r>
          </w:p>
        </w:tc>
        <w:tc>
          <w:tcPr>
            <w:tcW w:type="dxa" w:w="3600"/>
            <w:shd w:val="clear" w:color="auto" w:fill="57068C"/>
            <w:tcMar>
              <w:top w:w="70" w:type="dxa"/>
              <w:start w:w="90" w:type="dxa"/>
              <w:bottom w:w="70" w:type="dxa"/>
              <w:end w:w="90" w:type="dxa"/>
            </w:tcMar>
          </w:tcPr>
          <w:p>
            <w:pPr>
              <w:spacing w:after="20"/>
            </w:pPr>
            <w:r>
              <w:rPr>
                <w:b/>
                <w:color w:val="FFFFFF"/>
                <w:sz w:val="17"/>
              </w:rPr>
              <w:t>Against</w:t>
            </w:r>
          </w:p>
        </w:tc>
        <w:tc>
          <w:tcPr>
            <w:tcW w:type="dxa" w:w="1960"/>
            <w:shd w:val="clear" w:color="auto" w:fill="57068C"/>
            <w:tcMar>
              <w:top w:w="70" w:type="dxa"/>
              <w:start w:w="90" w:type="dxa"/>
              <w:bottom w:w="70" w:type="dxa"/>
              <w:end w:w="90" w:type="dxa"/>
            </w:tcMar>
          </w:tcPr>
          <w:p>
            <w:pPr>
              <w:spacing w:after="20"/>
            </w:pPr>
            <w:r>
              <w:rPr>
                <w:b/>
                <w:color w:val="FFFFFF"/>
                <w:sz w:val="17"/>
              </w:rPr>
              <w:t>Score</w:t>
            </w:r>
          </w:p>
        </w:tc>
      </w:tr>
      <w:tr>
        <w:tc>
          <w:tcPr>
            <w:tcW w:type="dxa" w:w="1900"/>
            <w:tcMar>
              <w:top w:w="70" w:type="dxa"/>
              <w:start w:w="90" w:type="dxa"/>
              <w:bottom w:w="70" w:type="dxa"/>
              <w:end w:w="90" w:type="dxa"/>
            </w:tcMar>
          </w:tcPr>
          <w:p>
            <w:pPr>
              <w:spacing w:after="20"/>
            </w:pPr>
            <w:r>
              <w:rPr>
                <w:b w:val="0"/>
                <w:sz w:val="17"/>
              </w:rPr>
              <w:t>Suppression test (Layer 2)</w:t>
            </w:r>
          </w:p>
        </w:tc>
        <w:tc>
          <w:tcPr>
            <w:tcW w:type="dxa" w:w="3000"/>
            <w:tcMar>
              <w:top w:w="70" w:type="dxa"/>
              <w:start w:w="90" w:type="dxa"/>
              <w:bottom w:w="70" w:type="dxa"/>
              <w:end w:w="90" w:type="dxa"/>
            </w:tcMar>
          </w:tcPr>
          <w:p>
            <w:pPr>
              <w:spacing w:after="20"/>
            </w:pPr>
            <w:r>
              <w:rPr>
                <w:b w:val="0"/>
                <w:sz w:val="17"/>
              </w:rPr>
              <w:t>Dependence forming in software and AI tooling [E13, E14]</w:t>
            </w:r>
          </w:p>
        </w:tc>
        <w:tc>
          <w:tcPr>
            <w:tcW w:type="dxa" w:w="3600"/>
            <w:tcMar>
              <w:top w:w="70" w:type="dxa"/>
              <w:start w:w="90" w:type="dxa"/>
              <w:bottom w:w="70" w:type="dxa"/>
              <w:end w:w="90" w:type="dxa"/>
            </w:tcMar>
          </w:tcPr>
          <w:p>
            <w:pPr>
              <w:spacing w:after="20"/>
            </w:pPr>
            <w:r>
              <w:rPr>
                <w:b w:val="0"/>
                <w:sz w:val="17"/>
              </w:rPr>
              <w:t>Old state largely returns: 1-5% of hours [E6]; null labor effects [E9]; pilots cancelled [E12]</w:t>
            </w:r>
          </w:p>
        </w:tc>
        <w:tc>
          <w:tcPr>
            <w:tcW w:type="dxa" w:w="1960"/>
            <w:tcMar>
              <w:top w:w="70" w:type="dxa"/>
              <w:start w:w="90" w:type="dxa"/>
              <w:bottom w:w="70" w:type="dxa"/>
              <w:end w:w="90" w:type="dxa"/>
            </w:tcMar>
          </w:tcPr>
          <w:p>
            <w:pPr>
              <w:spacing w:after="20"/>
            </w:pPr>
            <w:r>
              <w:rPr>
                <w:b w:val="0"/>
                <w:sz w:val="17"/>
              </w:rPr>
              <w:t>In progress, not yet testable</w:t>
            </w:r>
          </w:p>
        </w:tc>
      </w:tr>
      <w:tr>
        <w:tc>
          <w:tcPr>
            <w:tcW w:type="dxa" w:w="1900"/>
            <w:tcMar>
              <w:top w:w="70" w:type="dxa"/>
              <w:start w:w="90" w:type="dxa"/>
              <w:bottom w:w="70" w:type="dxa"/>
              <w:end w:w="90" w:type="dxa"/>
            </w:tcMar>
          </w:tcPr>
          <w:p>
            <w:pPr>
              <w:spacing w:after="20"/>
            </w:pPr>
            <w:r>
              <w:rPr>
                <w:b w:val="0"/>
                <w:sz w:val="17"/>
              </w:rPr>
              <w:t>Order-of-magnitude</w:t>
            </w:r>
          </w:p>
        </w:tc>
        <w:tc>
          <w:tcPr>
            <w:tcW w:type="dxa" w:w="3000"/>
            <w:tcMar>
              <w:top w:w="70" w:type="dxa"/>
              <w:start w:w="90" w:type="dxa"/>
              <w:bottom w:w="70" w:type="dxa"/>
              <w:end w:w="90" w:type="dxa"/>
            </w:tcMar>
          </w:tcPr>
          <w:p>
            <w:pPr>
              <w:spacing w:after="20"/>
            </w:pPr>
            <w:r>
              <w:rPr>
                <w:b w:val="0"/>
                <w:sz w:val="17"/>
              </w:rPr>
              <w:t>OSWorld about 5% to 66.3% in a year [E5]; horizons doubling [E4]</w:t>
            </w:r>
          </w:p>
        </w:tc>
        <w:tc>
          <w:tcPr>
            <w:tcW w:type="dxa" w:w="3600"/>
            <w:tcMar>
              <w:top w:w="70" w:type="dxa"/>
              <w:start w:w="90" w:type="dxa"/>
              <w:bottom w:w="70" w:type="dxa"/>
              <w:end w:w="90" w:type="dxa"/>
            </w:tcMar>
          </w:tcPr>
          <w:p>
            <w:pPr>
              <w:spacing w:after="20"/>
            </w:pPr>
            <w:r>
              <w:rPr>
                <w:b w:val="0"/>
                <w:sz w:val="17"/>
              </w:rPr>
              <w:t>30% of realistic tasks [E11]; benchmarks are not the field</w:t>
            </w:r>
          </w:p>
        </w:tc>
        <w:tc>
          <w:tcPr>
            <w:tcW w:type="dxa" w:w="1960"/>
            <w:tcMar>
              <w:top w:w="70" w:type="dxa"/>
              <w:start w:w="90" w:type="dxa"/>
              <w:bottom w:w="70" w:type="dxa"/>
              <w:end w:w="90" w:type="dxa"/>
            </w:tcMar>
          </w:tcPr>
          <w:p>
            <w:pPr>
              <w:spacing w:after="20"/>
            </w:pPr>
            <w:r>
              <w:rPr>
                <w:b w:val="0"/>
                <w:sz w:val="17"/>
              </w:rPr>
              <w:t>Capability yes; field unknown</w:t>
            </w:r>
          </w:p>
        </w:tc>
      </w:tr>
      <w:tr>
        <w:tc>
          <w:tcPr>
            <w:tcW w:type="dxa" w:w="1900"/>
            <w:tcMar>
              <w:top w:w="70" w:type="dxa"/>
              <w:start w:w="90" w:type="dxa"/>
              <w:bottom w:w="70" w:type="dxa"/>
              <w:end w:w="90" w:type="dxa"/>
            </w:tcMar>
          </w:tcPr>
          <w:p>
            <w:pPr>
              <w:spacing w:after="20"/>
            </w:pPr>
            <w:r>
              <w:rPr>
                <w:b w:val="0"/>
                <w:sz w:val="17"/>
              </w:rPr>
              <w:t>Widespread impact</w:t>
            </w:r>
          </w:p>
        </w:tc>
        <w:tc>
          <w:tcPr>
            <w:tcW w:type="dxa" w:w="3000"/>
            <w:tcMar>
              <w:top w:w="70" w:type="dxa"/>
              <w:start w:w="90" w:type="dxa"/>
              <w:bottom w:w="70" w:type="dxa"/>
              <w:end w:w="90" w:type="dxa"/>
            </w:tcMar>
          </w:tcPr>
          <w:p>
            <w:pPr>
              <w:spacing w:after="20"/>
            </w:pPr>
            <w:r>
              <w:rPr>
                <w:b w:val="0"/>
                <w:sz w:val="17"/>
              </w:rPr>
              <w:t>80% of workers exposed [E3]</w:t>
            </w:r>
          </w:p>
        </w:tc>
        <w:tc>
          <w:tcPr>
            <w:tcW w:type="dxa" w:w="3600"/>
            <w:tcMar>
              <w:top w:w="70" w:type="dxa"/>
              <w:start w:w="90" w:type="dxa"/>
              <w:bottom w:w="70" w:type="dxa"/>
              <w:end w:w="90" w:type="dxa"/>
            </w:tcMar>
          </w:tcPr>
          <w:p>
            <w:pPr>
              <w:spacing w:after="20"/>
            </w:pPr>
            <w:r>
              <w:rPr>
                <w:b w:val="0"/>
                <w:sz w:val="17"/>
              </w:rPr>
              <w:t>Exposure is not impact; small realized effects [E6, E9, E10]</w:t>
            </w:r>
          </w:p>
        </w:tc>
        <w:tc>
          <w:tcPr>
            <w:tcW w:type="dxa" w:w="1960"/>
            <w:tcMar>
              <w:top w:w="70" w:type="dxa"/>
              <w:start w:w="90" w:type="dxa"/>
              <w:bottom w:w="70" w:type="dxa"/>
              <w:end w:w="90" w:type="dxa"/>
            </w:tcMar>
          </w:tcPr>
          <w:p>
            <w:pPr>
              <w:spacing w:after="20"/>
            </w:pPr>
            <w:r>
              <w:rPr>
                <w:b w:val="0"/>
                <w:sz w:val="17"/>
              </w:rPr>
              <w:t>Partial</w:t>
            </w:r>
          </w:p>
        </w:tc>
      </w:tr>
      <w:tr>
        <w:tc>
          <w:tcPr>
            <w:tcW w:type="dxa" w:w="1900"/>
            <w:tcMar>
              <w:top w:w="70" w:type="dxa"/>
              <w:start w:w="90" w:type="dxa"/>
              <w:bottom w:w="70" w:type="dxa"/>
              <w:end w:w="90" w:type="dxa"/>
            </w:tcMar>
          </w:tcPr>
          <w:p>
            <w:pPr>
              <w:spacing w:after="20"/>
            </w:pPr>
            <w:r>
              <w:rPr>
                <w:b w:val="0"/>
                <w:sz w:val="17"/>
              </w:rPr>
              <w:t>Paradigm shift</w:t>
            </w:r>
          </w:p>
        </w:tc>
        <w:tc>
          <w:tcPr>
            <w:tcW w:type="dxa" w:w="3000"/>
            <w:tcMar>
              <w:top w:w="70" w:type="dxa"/>
              <w:start w:w="90" w:type="dxa"/>
              <w:bottom w:w="70" w:type="dxa"/>
              <w:end w:w="90" w:type="dxa"/>
            </w:tcMar>
          </w:tcPr>
          <w:p>
            <w:pPr>
              <w:spacing w:after="20"/>
            </w:pPr>
            <w:r>
              <w:rPr>
                <w:b w:val="0"/>
                <w:sz w:val="17"/>
              </w:rPr>
              <w:t>Software that chooses its own steps [E15]</w:t>
            </w:r>
          </w:p>
        </w:tc>
        <w:tc>
          <w:tcPr>
            <w:tcW w:type="dxa" w:w="3600"/>
            <w:tcMar>
              <w:top w:w="70" w:type="dxa"/>
              <w:start w:w="90" w:type="dxa"/>
              <w:bottom w:w="70" w:type="dxa"/>
              <w:end w:w="90" w:type="dxa"/>
            </w:tcMar>
          </w:tcPr>
          <w:p>
            <w:pPr>
              <w:spacing w:after="20"/>
            </w:pPr>
            <w:r>
              <w:rPr>
                <w:b w:val="0"/>
                <w:sz w:val="17"/>
              </w:rPr>
              <w:t>Used inside existing work designs</w:t>
            </w:r>
          </w:p>
        </w:tc>
        <w:tc>
          <w:tcPr>
            <w:tcW w:type="dxa" w:w="1960"/>
            <w:tcMar>
              <w:top w:w="70" w:type="dxa"/>
              <w:start w:w="90" w:type="dxa"/>
              <w:bottom w:w="70" w:type="dxa"/>
              <w:end w:w="90" w:type="dxa"/>
            </w:tcMar>
          </w:tcPr>
          <w:p>
            <w:pPr>
              <w:spacing w:after="20"/>
            </w:pPr>
            <w:r>
              <w:rPr>
                <w:b w:val="0"/>
                <w:sz w:val="17"/>
              </w:rPr>
              <w:t>Partial</w:t>
            </w:r>
          </w:p>
        </w:tc>
      </w:tr>
      <w:tr>
        <w:tc>
          <w:tcPr>
            <w:tcW w:type="dxa" w:w="1900"/>
            <w:tcMar>
              <w:top w:w="70" w:type="dxa"/>
              <w:start w:w="90" w:type="dxa"/>
              <w:bottom w:w="70" w:type="dxa"/>
              <w:end w:w="90" w:type="dxa"/>
            </w:tcMar>
          </w:tcPr>
          <w:p>
            <w:pPr>
              <w:spacing w:after="20"/>
            </w:pPr>
            <w:r>
              <w:rPr>
                <w:b w:val="0"/>
                <w:sz w:val="17"/>
              </w:rPr>
              <w:t>Catalytic effect</w:t>
            </w:r>
          </w:p>
        </w:tc>
        <w:tc>
          <w:tcPr>
            <w:tcW w:type="dxa" w:w="3000"/>
            <w:tcMar>
              <w:top w:w="70" w:type="dxa"/>
              <w:start w:w="90" w:type="dxa"/>
              <w:bottom w:w="70" w:type="dxa"/>
              <w:end w:w="90" w:type="dxa"/>
            </w:tcMar>
          </w:tcPr>
          <w:p>
            <w:pPr>
              <w:spacing w:after="20"/>
            </w:pPr>
            <w:r>
              <w:rPr>
                <w:b w:val="0"/>
                <w:sz w:val="17"/>
              </w:rPr>
              <w:t>10,000+ public MCP servers; industry foundation [E14]</w:t>
            </w:r>
          </w:p>
        </w:tc>
        <w:tc>
          <w:tcPr>
            <w:tcW w:type="dxa" w:w="3600"/>
            <w:tcMar>
              <w:top w:w="70" w:type="dxa"/>
              <w:start w:w="90" w:type="dxa"/>
              <w:bottom w:w="70" w:type="dxa"/>
              <w:end w:w="90" w:type="dxa"/>
            </w:tcMar>
          </w:tcPr>
          <w:p>
            <w:pPr>
              <w:spacing w:after="20"/>
            </w:pPr>
            <w:r>
              <w:rPr>
                <w:b w:val="0"/>
                <w:sz w:val="17"/>
              </w:rPr>
              <w:t>Self-reported vendor counts</w:t>
            </w:r>
          </w:p>
        </w:tc>
        <w:tc>
          <w:tcPr>
            <w:tcW w:type="dxa" w:w="1960"/>
            <w:tcMar>
              <w:top w:w="70" w:type="dxa"/>
              <w:start w:w="90" w:type="dxa"/>
              <w:bottom w:w="70" w:type="dxa"/>
              <w:end w:w="90" w:type="dxa"/>
            </w:tcMar>
          </w:tcPr>
          <w:p>
            <w:pPr>
              <w:spacing w:after="20"/>
            </w:pPr>
            <w:r>
              <w:rPr>
                <w:b w:val="0"/>
                <w:sz w:val="17"/>
              </w:rPr>
              <w:t>Partial, early</w:t>
            </w:r>
          </w:p>
        </w:tc>
      </w:tr>
      <w:tr>
        <w:tc>
          <w:tcPr>
            <w:tcW w:type="dxa" w:w="1900"/>
            <w:tcMar>
              <w:top w:w="70" w:type="dxa"/>
              <w:start w:w="90" w:type="dxa"/>
              <w:bottom w:w="70" w:type="dxa"/>
              <w:end w:w="90" w:type="dxa"/>
            </w:tcMar>
          </w:tcPr>
          <w:p>
            <w:pPr>
              <w:spacing w:after="20"/>
            </w:pPr>
            <w:r>
              <w:rPr>
                <w:b w:val="0"/>
                <w:sz w:val="17"/>
              </w:rPr>
              <w:t>Democratizing effect</w:t>
            </w:r>
          </w:p>
        </w:tc>
        <w:tc>
          <w:tcPr>
            <w:tcW w:type="dxa" w:w="3000"/>
            <w:tcMar>
              <w:top w:w="70" w:type="dxa"/>
              <w:start w:w="90" w:type="dxa"/>
              <w:bottom w:w="70" w:type="dxa"/>
              <w:end w:w="90" w:type="dxa"/>
            </w:tcMar>
          </w:tcPr>
          <w:p>
            <w:pPr>
              <w:spacing w:after="20"/>
            </w:pPr>
            <w:r>
              <w:rPr>
                <w:b w:val="0"/>
                <w:sz w:val="17"/>
              </w:rPr>
              <w:t>+34% for novices [E7]</w:t>
            </w:r>
          </w:p>
        </w:tc>
        <w:tc>
          <w:tcPr>
            <w:tcW w:type="dxa" w:w="3600"/>
            <w:tcMar>
              <w:top w:w="70" w:type="dxa"/>
              <w:start w:w="90" w:type="dxa"/>
              <w:bottom w:w="70" w:type="dxa"/>
              <w:end w:w="90" w:type="dxa"/>
            </w:tcMar>
          </w:tcPr>
          <w:p>
            <w:pPr>
              <w:spacing w:after="20"/>
            </w:pPr>
            <w:r>
              <w:rPr>
                <w:b w:val="0"/>
                <w:sz w:val="17"/>
              </w:rPr>
              <w:t>Assisted, non-agent setting</w:t>
            </w:r>
          </w:p>
        </w:tc>
        <w:tc>
          <w:tcPr>
            <w:tcW w:type="dxa" w:w="1960"/>
            <w:tcMar>
              <w:top w:w="70" w:type="dxa"/>
              <w:start w:w="90" w:type="dxa"/>
              <w:bottom w:w="70" w:type="dxa"/>
              <w:end w:w="90" w:type="dxa"/>
            </w:tcMar>
          </w:tcPr>
          <w:p>
            <w:pPr>
              <w:spacing w:after="20"/>
            </w:pPr>
            <w:r>
              <w:rPr>
                <w:b w:val="0"/>
                <w:sz w:val="17"/>
              </w:rPr>
              <w:t>Partial</w:t>
            </w:r>
          </w:p>
        </w:tc>
      </w:tr>
      <w:tr>
        <w:tc>
          <w:tcPr>
            <w:tcW w:type="dxa" w:w="1900"/>
            <w:tcMar>
              <w:top w:w="70" w:type="dxa"/>
              <w:start w:w="90" w:type="dxa"/>
              <w:bottom w:w="70" w:type="dxa"/>
              <w:end w:w="90" w:type="dxa"/>
            </w:tcMar>
          </w:tcPr>
          <w:p>
            <w:pPr>
              <w:spacing w:after="20"/>
            </w:pPr>
            <w:r>
              <w:rPr>
                <w:b w:val="0"/>
                <w:sz w:val="17"/>
              </w:rPr>
              <w:t>Irreversibility</w:t>
            </w:r>
          </w:p>
        </w:tc>
        <w:tc>
          <w:tcPr>
            <w:tcW w:type="dxa" w:w="3000"/>
            <w:tcMar>
              <w:top w:w="70" w:type="dxa"/>
              <w:start w:w="90" w:type="dxa"/>
              <w:bottom w:w="70" w:type="dxa"/>
              <w:end w:w="90" w:type="dxa"/>
            </w:tcMar>
          </w:tcPr>
          <w:p>
            <w:pPr>
              <w:spacing w:after="20"/>
            </w:pPr>
            <w:r>
              <w:rPr>
                <w:b w:val="0"/>
                <w:sz w:val="17"/>
              </w:rPr>
              <w:t>-</w:t>
            </w:r>
          </w:p>
        </w:tc>
        <w:tc>
          <w:tcPr>
            <w:tcW w:type="dxa" w:w="3600"/>
            <w:tcMar>
              <w:top w:w="70" w:type="dxa"/>
              <w:start w:w="90" w:type="dxa"/>
              <w:bottom w:w="70" w:type="dxa"/>
              <w:end w:w="90" w:type="dxa"/>
            </w:tcMar>
          </w:tcPr>
          <w:p>
            <w:pPr>
              <w:spacing w:after="20"/>
            </w:pPr>
            <w:r>
              <w:rPr>
                <w:b w:val="0"/>
                <w:sz w:val="17"/>
              </w:rPr>
              <w:t>Verifiable only after the fact [C1]</w:t>
            </w:r>
          </w:p>
        </w:tc>
        <w:tc>
          <w:tcPr>
            <w:tcW w:type="dxa" w:w="1960"/>
            <w:tcMar>
              <w:top w:w="70" w:type="dxa"/>
              <w:start w:w="90" w:type="dxa"/>
              <w:bottom w:w="70" w:type="dxa"/>
              <w:end w:w="90" w:type="dxa"/>
            </w:tcMar>
          </w:tcPr>
          <w:p>
            <w:pPr>
              <w:spacing w:after="20"/>
            </w:pPr>
            <w:r>
              <w:rPr>
                <w:b w:val="0"/>
                <w:sz w:val="17"/>
              </w:rPr>
              <w:t>Unknown</w:t>
            </w:r>
          </w:p>
        </w:tc>
      </w:tr>
      <w:tr>
        <w:tc>
          <w:tcPr>
            <w:tcW w:type="dxa" w:w="1900"/>
            <w:tcMar>
              <w:top w:w="70" w:type="dxa"/>
              <w:start w:w="90" w:type="dxa"/>
              <w:bottom w:w="70" w:type="dxa"/>
              <w:end w:w="90" w:type="dxa"/>
            </w:tcMar>
          </w:tcPr>
          <w:p>
            <w:pPr>
              <w:spacing w:after="20"/>
            </w:pPr>
            <w:r>
              <w:rPr>
                <w:b w:val="0"/>
                <w:sz w:val="17"/>
              </w:rPr>
              <w:t>Tiers</w:t>
            </w:r>
          </w:p>
        </w:tc>
        <w:tc>
          <w:tcPr>
            <w:tcW w:type="dxa" w:w="3000"/>
            <w:tcMar>
              <w:top w:w="70" w:type="dxa"/>
              <w:start w:w="90" w:type="dxa"/>
              <w:bottom w:w="70" w:type="dxa"/>
              <w:end w:w="90" w:type="dxa"/>
            </w:tcMar>
          </w:tcPr>
          <w:p>
            <w:pPr>
              <w:spacing w:after="20"/>
            </w:pPr>
            <w:r>
              <w:rPr>
                <w:b w:val="0"/>
                <w:sz w:val="17"/>
              </w:rPr>
              <w:t>Economic activity</w:t>
            </w:r>
          </w:p>
        </w:tc>
        <w:tc>
          <w:tcPr>
            <w:tcW w:type="dxa" w:w="3600"/>
            <w:tcMar>
              <w:top w:w="70" w:type="dxa"/>
              <w:start w:w="90" w:type="dxa"/>
              <w:bottom w:w="70" w:type="dxa"/>
              <w:end w:w="90" w:type="dxa"/>
            </w:tcMar>
          </w:tcPr>
          <w:p>
            <w:pPr>
              <w:spacing w:after="20"/>
            </w:pPr>
            <w:r>
              <w:rPr>
                <w:b w:val="0"/>
                <w:sz w:val="17"/>
              </w:rPr>
              <w:t>Cognitive and social tier exposed, not reorganizing</w:t>
            </w:r>
          </w:p>
        </w:tc>
        <w:tc>
          <w:tcPr>
            <w:tcW w:type="dxa" w:w="1960"/>
            <w:tcMar>
              <w:top w:w="70" w:type="dxa"/>
              <w:start w:w="90" w:type="dxa"/>
              <w:bottom w:w="70" w:type="dxa"/>
              <w:end w:w="90" w:type="dxa"/>
            </w:tcMar>
          </w:tcPr>
          <w:p>
            <w:pPr>
              <w:spacing w:after="20"/>
            </w:pPr>
            <w:r>
              <w:rPr>
                <w:b w:val="0"/>
                <w:sz w:val="17"/>
              </w:rPr>
              <w:t>One</w:t>
            </w:r>
          </w:p>
        </w:tc>
      </w:tr>
    </w:tbl>
    <w:p>
      <w:pPr>
        <w:spacing w:after="60"/>
      </w:pPr>
      <w:r>
        <w:rPr>
          <w:b w:val="0"/>
          <w:sz w:val="19"/>
        </w:rPr>
        <w:t>Not used as support: "more profound than electricity or fire" [E16], $285.88B of AI investment [E5], adoption speed [E5, E6] and unverified vendor or competitor claims. The course calls attention and investment weak evidence [C2]. The full argument is in records/evidence_for_against.md.</w:t>
      </w:r>
    </w:p>
    <w:p>
      <w:pPr>
        <w:pStyle w:val="Heading1"/>
      </w:pPr>
      <w:r>
        <w:t>Appendix B. Sources and evidence boundaries</w:t>
      </w:r>
    </w:p>
    <w:p>
      <w:pPr>
        <w:spacing w:after="60"/>
      </w:pPr>
      <w:r>
        <w:rPr>
          <w:b w:val="0"/>
          <w:sz w:val="19"/>
        </w:rPr>
        <w:t>All external sources were opened on October 18, 2026. Each is used only for what it supports; limits follow each entry.</w:t>
      </w:r>
    </w:p>
    <w:p>
      <w:pPr>
        <w:spacing w:after="50"/>
      </w:pPr>
      <w:r>
        <w:rPr>
          <w:b/>
          <w:sz w:val="17"/>
        </w:rPr>
        <w:t xml:space="preserve">[C1] Andres Fortino (course deck, user-supplied). ET Promethean Technologies FA26 (Module 5). FA26; inspected 2026-10-18. </w:t>
      </w:r>
      <w:r>
        <w:rPr>
          <w:b w:val="0"/>
          <w:sz w:val="17"/>
        </w:rPr>
        <w:t>Course material; not republished</w:t>
      </w:r>
    </w:p>
    <w:p>
      <w:pPr>
        <w:spacing w:after="90"/>
      </w:pPr>
      <w:r>
        <w:rPr>
          <w:b/>
          <w:sz w:val="17"/>
        </w:rPr>
        <w:t xml:space="preserve">Use: </w:t>
      </w:r>
      <w:r>
        <w:rPr>
          <w:b w:val="0"/>
          <w:sz w:val="17"/>
        </w:rPr>
        <w:t xml:space="preserve">Layer 1 system-vs-component; Layer 2 barrier statement and suppression test ('if the old state would simply return ... at most a breakthrough'); Layer 3 six criteria; single-tier dissolution = breakthrough, two or more tiers = Promethean candidate; 'irreversibility can only be verified after the fact'; mode: Confirmed vs Potential Promethean. Slide 20 lists Generative AI (2020s) as 'Potential Promethean' with a question mark. </w:t>
      </w:r>
      <w:r>
        <w:rPr>
          <w:b/>
          <w:sz w:val="17"/>
        </w:rPr>
        <w:t xml:space="preserve">Limit: </w:t>
      </w:r>
      <w:r>
        <w:rPr>
          <w:b w:val="0"/>
          <w:sz w:val="17"/>
        </w:rPr>
        <w:t>Any measurement of agentic AI; the slide-20 exemplar label is a classroom illustration for generative AI, not evidence about the agent system evaluated here. Textbook Chapter 11 (section 11.2) was not supplied and is not claimed as read.</w:t>
      </w:r>
    </w:p>
    <w:p>
      <w:pPr>
        <w:spacing w:after="50"/>
      </w:pPr>
      <w:r>
        <w:rPr>
          <w:b/>
          <w:sz w:val="17"/>
        </w:rPr>
        <w:t xml:space="preserve">[C2] Andres Fortino (course deck, user-supplied). ET Invention Innovation Entrepreneurship FA26, Prep Lab 5. FA26; inspected 2026-10-18. </w:t>
      </w:r>
      <w:r>
        <w:rPr>
          <w:b w:val="0"/>
          <w:sz w:val="17"/>
        </w:rPr>
        <w:t>Course material; not republished</w:t>
      </w:r>
    </w:p>
    <w:p>
      <w:pPr>
        <w:spacing w:after="90"/>
      </w:pPr>
      <w:r>
        <w:rPr>
          <w:b/>
          <w:sz w:val="17"/>
        </w:rPr>
        <w:t xml:space="preserve">Use: </w:t>
      </w:r>
      <w:r>
        <w:rPr>
          <w:b w:val="0"/>
          <w:sz w:val="17"/>
        </w:rPr>
        <w:t xml:space="preserve">Criteria include breadth of impact, scale, paradigm shift, catalytic effects, democratization and the 10X idea; rapid investment or media attention is weak evidence; separate 'could this reshape society?' from 'is this useful for this organization?'; a potentially Promethean technology can be a poor choice for a particular application today. </w:t>
      </w:r>
      <w:r>
        <w:rPr>
          <w:b/>
          <w:sz w:val="17"/>
        </w:rPr>
        <w:t xml:space="preserve">Limit: </w:t>
      </w:r>
      <w:r>
        <w:rPr>
          <w:b w:val="0"/>
          <w:sz w:val="17"/>
        </w:rPr>
        <w:t>Numeric thresholds beyond the 10X idea; any case-specific conclusion.</w:t>
      </w:r>
    </w:p>
    <w:p>
      <w:pPr>
        <w:spacing w:after="50"/>
      </w:pPr>
      <w:r>
        <w:rPr>
          <w:b/>
          <w:sz w:val="17"/>
        </w:rPr>
        <w:t xml:space="preserve">[C3] Minghan Liu. Assignment 3 Innovation and Disruption Agent v1.1 (prior specialist output). 2026-10-11. </w:t>
      </w:r>
      <w:r>
        <w:rPr>
          <w:b w:val="0"/>
          <w:sz w:val="17"/>
        </w:rPr>
        <w:t>https://github.com/lmh04250425/MASY1800-agents/tree/assignment-3-innovation-disruption/agents/innovation_disruption_agent</w:t>
      </w:r>
    </w:p>
    <w:p>
      <w:pPr>
        <w:spacing w:after="90"/>
      </w:pPr>
      <w:r>
        <w:rPr>
          <w:b/>
          <w:sz w:val="17"/>
        </w:rPr>
        <w:t xml:space="preserve">Use: </w:t>
      </w:r>
      <w:r>
        <w:rPr>
          <w:b w:val="0"/>
          <w:sz w:val="17"/>
        </w:rPr>
        <w:t xml:space="preserve">The SPS applicant-support proposal was classified as a proposed incremental, sustaining process innovation with Moderate conditional business-model exposure, and a three-way comparison (staff-only, simple retrieval, proposed agent) was recommended before any pilot. </w:t>
      </w:r>
      <w:r>
        <w:rPr>
          <w:b/>
          <w:sz w:val="17"/>
        </w:rPr>
        <w:t xml:space="preserve">Limit: </w:t>
      </w:r>
      <w:r>
        <w:rPr>
          <w:b w:val="0"/>
          <w:sz w:val="17"/>
        </w:rPr>
        <w:t>Independent evidence; it is a prior AI-assisted student analysis used for continuity only.</w:t>
      </w:r>
    </w:p>
    <w:p>
      <w:pPr>
        <w:spacing w:after="50"/>
      </w:pPr>
      <w:r>
        <w:rPr>
          <w:b/>
          <w:sz w:val="17"/>
        </w:rPr>
        <w:t xml:space="preserve">[E1] Timothy F. Bresnahan and Manuel Trajtenberg. General Purpose Technologies: 'Engines of Growth?'. NBER WP 4148 (1992); Journal of Econometrics 65(1):83-108 (1995). </w:t>
      </w:r>
      <w:r>
        <w:rPr>
          <w:b w:val="0"/>
          <w:sz w:val="17"/>
        </w:rPr>
        <w:t>https://www.nber.org/papers/w4148</w:t>
      </w:r>
    </w:p>
    <w:p>
      <w:pPr>
        <w:spacing w:after="90"/>
      </w:pPr>
      <w:r>
        <w:rPr>
          <w:b/>
          <w:sz w:val="17"/>
        </w:rPr>
        <w:t xml:space="preserve">Use: </w:t>
      </w:r>
      <w:r>
        <w:rPr>
          <w:b w:val="0"/>
          <w:sz w:val="17"/>
        </w:rPr>
        <w:t xml:space="preserve">General-purpose technologies are marked by pervasiveness, inherent potential for technical improvement and innovational complementarities; corroborates the course's 'widespread impact' and 'catalytic effect' criteria. </w:t>
      </w:r>
      <w:r>
        <w:rPr>
          <w:b/>
          <w:sz w:val="17"/>
        </w:rPr>
        <w:t xml:space="preserve">Limit: </w:t>
      </w:r>
      <w:r>
        <w:rPr>
          <w:b w:val="0"/>
          <w:sz w:val="17"/>
        </w:rPr>
        <w:t>That any particular technology currently meets these criteria.</w:t>
      </w:r>
    </w:p>
    <w:p>
      <w:pPr>
        <w:spacing w:after="50"/>
      </w:pPr>
      <w:r>
        <w:rPr>
          <w:b/>
          <w:sz w:val="17"/>
        </w:rPr>
        <w:t xml:space="preserve">[E2] Paul A. David. The Dynamo and the Computer: An Historical Perspective on the Modern Productivity Paradox. 1990; American Economic Review 80(2) Papers and Proceedings. </w:t>
      </w:r>
      <w:r>
        <w:rPr>
          <w:b w:val="0"/>
          <w:sz w:val="17"/>
        </w:rPr>
        <w:t>https://acawiki.org/The_dynamo_and_the_computer:_an_historical_perspective_on_the_modern_productivity_paradox</w:t>
      </w:r>
    </w:p>
    <w:p>
      <w:pPr>
        <w:spacing w:after="90"/>
      </w:pPr>
      <w:r>
        <w:rPr>
          <w:b/>
          <w:sz w:val="17"/>
        </w:rPr>
        <w:t xml:space="preserve">Use: </w:t>
      </w:r>
      <w:r>
        <w:rPr>
          <w:b w:val="0"/>
          <w:sz w:val="17"/>
        </w:rPr>
        <w:t xml:space="preserve">Electrification produced large productivity gains only after factories were reorganized around the new technology, after a long lag; early small measured effects do not refute later transformation. </w:t>
      </w:r>
      <w:r>
        <w:rPr>
          <w:b/>
          <w:sz w:val="17"/>
        </w:rPr>
        <w:t xml:space="preserve">Limit: </w:t>
      </w:r>
      <w:r>
        <w:rPr>
          <w:b w:val="0"/>
          <w:sz w:val="17"/>
        </w:rPr>
        <w:t>A prediction that agentic AI will follow the same path or timing.</w:t>
      </w:r>
    </w:p>
    <w:p>
      <w:pPr>
        <w:spacing w:after="50"/>
      </w:pPr>
      <w:r>
        <w:rPr>
          <w:b/>
          <w:sz w:val="17"/>
        </w:rPr>
        <w:t xml:space="preserve">[E3] Tyna Eloundou, Sam Manning, Pamela Mishkin, Daniel Rock. GPTs are GPTs: An Early Look at the Labor Market Impact Potential of Large Language Models. arXiv 2303.10130 (2023-03-17; v4 2023-03-23); Science version 2024-06-20. </w:t>
      </w:r>
      <w:r>
        <w:rPr>
          <w:b w:val="0"/>
          <w:sz w:val="17"/>
        </w:rPr>
        <w:t>https://arxiv.org/abs/2303.10130</w:t>
      </w:r>
    </w:p>
    <w:p>
      <w:pPr>
        <w:spacing w:after="90"/>
      </w:pPr>
      <w:r>
        <w:rPr>
          <w:b/>
          <w:sz w:val="17"/>
        </w:rPr>
        <w:t xml:space="preserve">Use: </w:t>
      </w:r>
      <w:r>
        <w:rPr>
          <w:b w:val="0"/>
          <w:sz w:val="17"/>
        </w:rPr>
        <w:t xml:space="preserve">About 80% of the U.S. workforce could have at least 10% of tasks affected and about 19% could have at least 50% affected; LLMs 'exhibit traits of general-purpose technologies'. </w:t>
      </w:r>
      <w:r>
        <w:rPr>
          <w:b/>
          <w:sz w:val="17"/>
        </w:rPr>
        <w:t xml:space="preserve">Limit: </w:t>
      </w:r>
      <w:r>
        <w:rPr>
          <w:b w:val="0"/>
          <w:sz w:val="17"/>
        </w:rPr>
        <w:t>Realized adoption, productivity or labor-market change. Exposure is potential, not dissolution. Three authors were OpenAI-affiliated.</w:t>
      </w:r>
    </w:p>
    <w:p>
      <w:pPr>
        <w:spacing w:after="50"/>
      </w:pPr>
      <w:r>
        <w:rPr>
          <w:b/>
          <w:sz w:val="17"/>
        </w:rPr>
        <w:t xml:space="preserve">[E4] Thomas Kwa et al. (METR). Measuring AI Ability to Complete Long Software Tasks. arXiv 2503.14499 (2025-03-18; v4 revised 2026-07-10). </w:t>
      </w:r>
      <w:r>
        <w:rPr>
          <w:b w:val="0"/>
          <w:sz w:val="17"/>
        </w:rPr>
        <w:t>https://arxiv.org/abs/2503.14499</w:t>
      </w:r>
    </w:p>
    <w:p>
      <w:pPr>
        <w:spacing w:after="90"/>
      </w:pPr>
      <w:r>
        <w:rPr>
          <w:b/>
          <w:sz w:val="17"/>
        </w:rPr>
        <w:t xml:space="preserve">Use: </w:t>
      </w:r>
      <w:r>
        <w:rPr>
          <w:b w:val="0"/>
          <w:sz w:val="17"/>
        </w:rPr>
        <w:t xml:space="preserve">Frontier 50%-task-completion time horizon about 50 minutes (Claude 3.7 Sonnet, early 2025); horizons have doubled roughly every seven months since 2019 and may have accelerated in 2024. </w:t>
      </w:r>
      <w:r>
        <w:rPr>
          <w:b/>
          <w:sz w:val="17"/>
        </w:rPr>
        <w:t xml:space="preserve">Limit: </w:t>
      </w:r>
      <w:r>
        <w:rPr>
          <w:b w:val="0"/>
          <w:sz w:val="17"/>
        </w:rPr>
        <w:t>Real-world reliability outside the software task suite; the five-year extrapolation is a projection with stated external-validity limits.</w:t>
      </w:r>
    </w:p>
    <w:p>
      <w:pPr>
        <w:spacing w:after="50"/>
      </w:pPr>
      <w:r>
        <w:rPr>
          <w:b/>
          <w:sz w:val="17"/>
        </w:rPr>
        <w:t xml:space="preserve">[E5] Stanford HAI. The 2026 AI Index Report. 2026-04-13. </w:t>
      </w:r>
      <w:r>
        <w:rPr>
          <w:b w:val="0"/>
          <w:sz w:val="17"/>
        </w:rPr>
        <w:t>https://hai.stanford.edu/ai-index/2026-ai-index-report</w:t>
      </w:r>
    </w:p>
    <w:p>
      <w:pPr>
        <w:spacing w:after="90"/>
      </w:pPr>
      <w:r>
        <w:rPr>
          <w:b/>
          <w:sz w:val="17"/>
        </w:rPr>
        <w:t xml:space="preserve">Use: </w:t>
      </w:r>
      <w:r>
        <w:rPr>
          <w:b w:val="0"/>
          <w:sz w:val="17"/>
        </w:rPr>
        <w:t xml:space="preserve">OSWorld agent accuracy rose from about 5% (2024) to 66.3% (2025), still below a 72.35% human baseline; generative AI reached 53% adoption within three years, faster than the internet or computers at the same stage; US AI investment $285.88 billion in 2025; a record 362 reported AI incidents in 2025. </w:t>
      </w:r>
      <w:r>
        <w:rPr>
          <w:b/>
          <w:sz w:val="17"/>
        </w:rPr>
        <w:t xml:space="preserve">Limit: </w:t>
      </w:r>
      <w:r>
        <w:rPr>
          <w:b w:val="0"/>
          <w:sz w:val="17"/>
        </w:rPr>
        <w:t>Field reliability in consequential workflows; investment and adoption speed are not evidence of barrier dissolution (C2).</w:t>
      </w:r>
    </w:p>
    <w:p>
      <w:pPr>
        <w:spacing w:after="50"/>
      </w:pPr>
      <w:r>
        <w:rPr>
          <w:b/>
          <w:sz w:val="17"/>
        </w:rPr>
        <w:t xml:space="preserve">[E6] Alexander Bick, Adam Blandin, David J. Deming. The Rapid Adoption of Generative AI. NBER WP 32966 (2024-09; revised 2025-02); Management Science 72(10) (2026). </w:t>
      </w:r>
      <w:r>
        <w:rPr>
          <w:b w:val="0"/>
          <w:sz w:val="17"/>
        </w:rPr>
        <w:t>https://www.nber.org/papers/w32966</w:t>
      </w:r>
    </w:p>
    <w:p>
      <w:pPr>
        <w:spacing w:after="90"/>
      </w:pPr>
      <w:r>
        <w:rPr>
          <w:b/>
          <w:sz w:val="17"/>
        </w:rPr>
        <w:t xml:space="preserve">Use: </w:t>
      </w:r>
      <w:r>
        <w:rPr>
          <w:b w:val="0"/>
          <w:sz w:val="17"/>
        </w:rPr>
        <w:t xml:space="preserve">Nearly 40% of U.S. adults aged 18-64 use generative AI; adoption faster than PCs and the internet. Generative AI assists only 1-5% of all work hours, with time savings of about 1.4% of total work hours. </w:t>
      </w:r>
      <w:r>
        <w:rPr>
          <w:b/>
          <w:sz w:val="17"/>
        </w:rPr>
        <w:t xml:space="preserve">Limit: </w:t>
      </w:r>
      <w:r>
        <w:rPr>
          <w:b w:val="0"/>
          <w:sz w:val="17"/>
        </w:rPr>
        <w:t>Agent-specific use; organizational dependence; durable restructuring.</w:t>
      </w:r>
    </w:p>
    <w:p>
      <w:pPr>
        <w:spacing w:after="50"/>
      </w:pPr>
      <w:r>
        <w:rPr>
          <w:b/>
          <w:sz w:val="17"/>
        </w:rPr>
        <w:t xml:space="preserve">[E7] Erik Brynjolfsson, Danielle Li, Lindsey R. Raymond. Generative AI at Work. NBER WP 31161 (2023); Quarterly Journal of Economics 140(2):889-942 (2025). </w:t>
      </w:r>
      <w:r>
        <w:rPr>
          <w:b w:val="0"/>
          <w:sz w:val="17"/>
        </w:rPr>
        <w:t>https://www.nber.org/papers/w31161</w:t>
      </w:r>
    </w:p>
    <w:p>
      <w:pPr>
        <w:spacing w:after="90"/>
      </w:pPr>
      <w:r>
        <w:rPr>
          <w:b/>
          <w:sz w:val="17"/>
        </w:rPr>
        <w:t xml:space="preserve">Use: </w:t>
      </w:r>
      <w:r>
        <w:rPr>
          <w:b w:val="0"/>
          <w:sz w:val="17"/>
        </w:rPr>
        <w:t xml:space="preserve">An AI conversational assistant raised customer-support productivity 14% on average (issues resolved per hour) across 5,179 agents, 34% for novice and low-skilled workers, minimal for the most experienced: a measured gain and a skill-compression (democratizing) mechanism in a support setting analogous to applicant inquiries. </w:t>
      </w:r>
      <w:r>
        <w:rPr>
          <w:b/>
          <w:sz w:val="17"/>
        </w:rPr>
        <w:t xml:space="preserve">Limit: </w:t>
      </w:r>
      <w:r>
        <w:rPr>
          <w:b w:val="0"/>
          <w:sz w:val="17"/>
        </w:rPr>
        <w:t>Autonomous agent performance (the tool assisted humans); higher-education transfer; barrier dissolution.</w:t>
      </w:r>
    </w:p>
    <w:p>
      <w:pPr>
        <w:spacing w:after="50"/>
      </w:pPr>
      <w:r>
        <w:rPr>
          <w:b/>
          <w:sz w:val="17"/>
        </w:rPr>
        <w:t xml:space="preserve">[E8] Joel Becker, Nate Rush, Elizabeth Barnes, David Rein (METR). Measuring the Impact of Early-2025 AI on Experienced Open-Source Developer Productivity. arXiv 2507.09089 (2025-07-12). </w:t>
      </w:r>
      <w:r>
        <w:rPr>
          <w:b w:val="0"/>
          <w:sz w:val="17"/>
        </w:rPr>
        <w:t>https://arxiv.org/abs/2507.09089</w:t>
      </w:r>
    </w:p>
    <w:p>
      <w:pPr>
        <w:spacing w:after="90"/>
      </w:pPr>
      <w:r>
        <w:rPr>
          <w:b/>
          <w:sz w:val="17"/>
        </w:rPr>
        <w:t xml:space="preserve">Use: </w:t>
      </w:r>
      <w:r>
        <w:rPr>
          <w:b w:val="0"/>
          <w:sz w:val="17"/>
        </w:rPr>
        <w:t xml:space="preserve">16 experienced developers, 246 tasks: allowing AI tools increased completion time by 19%, while developers believed AI had cut time by 20%; perceived and measured effects can diverge sharply. </w:t>
      </w:r>
      <w:r>
        <w:rPr>
          <w:b/>
          <w:sz w:val="17"/>
        </w:rPr>
        <w:t xml:space="preserve">Limit: </w:t>
      </w:r>
      <w:r>
        <w:rPr>
          <w:b w:val="0"/>
          <w:sz w:val="17"/>
        </w:rPr>
        <w:t>Effects of later tools or other occupations; small sample.</w:t>
      </w:r>
    </w:p>
    <w:p>
      <w:pPr>
        <w:spacing w:after="50"/>
      </w:pPr>
      <w:r>
        <w:rPr>
          <w:b/>
          <w:sz w:val="17"/>
        </w:rPr>
        <w:t xml:space="preserve">[E9] Anders Humlum and Emilie Vestergaard. Large Language Models, Small Labor Market Effects (revised as 'Still Waters, Rapid Currents: Early Labor Market Transformation under Generative AI'). NBER WP 33777 (2025). </w:t>
      </w:r>
      <w:r>
        <w:rPr>
          <w:b w:val="0"/>
          <w:sz w:val="17"/>
        </w:rPr>
        <w:t>https://ideas.repec.org/p/nbr/nberwo/33777.html</w:t>
      </w:r>
    </w:p>
    <w:p>
      <w:pPr>
        <w:spacing w:after="90"/>
      </w:pPr>
      <w:r>
        <w:rPr>
          <w:b/>
          <w:sz w:val="17"/>
        </w:rPr>
        <w:t xml:space="preserve">Use: </w:t>
      </w:r>
      <w:r>
        <w:rPr>
          <w:b w:val="0"/>
          <w:sz w:val="17"/>
        </w:rPr>
        <w:t xml:space="preserve">Danish linked survey and register data show precise null effects on earnings and recorded hours, ruling out effects larger than 2% two years after ChatGPT's launch, despite widespread employer chatbot initiatives. </w:t>
      </w:r>
      <w:r>
        <w:rPr>
          <w:b/>
          <w:sz w:val="17"/>
        </w:rPr>
        <w:t xml:space="preserve">Limit: </w:t>
      </w:r>
      <w:r>
        <w:rPr>
          <w:b w:val="0"/>
          <w:sz w:val="17"/>
        </w:rPr>
        <w:t>Long-run effects, agentic systems specifically, or other labor markets.</w:t>
      </w:r>
    </w:p>
    <w:p>
      <w:pPr>
        <w:spacing w:after="50"/>
      </w:pPr>
      <w:r>
        <w:rPr>
          <w:b/>
          <w:sz w:val="17"/>
        </w:rPr>
        <w:t xml:space="preserve">[E10] Daron Acemoglu. The Simple Macroeconomics of AI. NBER WP 32487 (2024-05); Economic Policy 40(121):13-58 (2025). </w:t>
      </w:r>
      <w:r>
        <w:rPr>
          <w:b w:val="0"/>
          <w:sz w:val="17"/>
        </w:rPr>
        <w:t>https://www.nber.org/papers/w32487</w:t>
      </w:r>
    </w:p>
    <w:p>
      <w:pPr>
        <w:spacing w:after="90"/>
      </w:pPr>
      <w:r>
        <w:rPr>
          <w:b/>
          <w:sz w:val="17"/>
        </w:rPr>
        <w:t xml:space="preserve">Use: </w:t>
      </w:r>
      <w:r>
        <w:rPr>
          <w:b w:val="0"/>
          <w:sz w:val="17"/>
        </w:rPr>
        <w:t xml:space="preserve">Upper bound of about 0.66% total-factor-productivity gain over 10 years, adjusted to below 0.53%. </w:t>
      </w:r>
      <w:r>
        <w:rPr>
          <w:b/>
          <w:sz w:val="17"/>
        </w:rPr>
        <w:t xml:space="preserve">Limit: </w:t>
      </w:r>
      <w:r>
        <w:rPr>
          <w:b w:val="0"/>
          <w:sz w:val="17"/>
        </w:rPr>
        <w:t>A ceiling on long-run transformation; it is a contested model-based estimate.</w:t>
      </w:r>
    </w:p>
    <w:p>
      <w:pPr>
        <w:spacing w:after="50"/>
      </w:pPr>
      <w:r>
        <w:rPr>
          <w:b/>
          <w:sz w:val="17"/>
        </w:rPr>
        <w:t xml:space="preserve">[E11] Frank F. Xu et al. (CMU and others). TheAgentCompany: Benchmarking LLM Agents on Consequential Real World Tasks. arXiv 2412.14161 (2024-12-18; v3 2025-09-10); NeurIPS 2025. </w:t>
      </w:r>
      <w:r>
        <w:rPr>
          <w:b w:val="0"/>
          <w:sz w:val="17"/>
        </w:rPr>
        <w:t>https://arxiv.org/abs/2412.14161</w:t>
      </w:r>
    </w:p>
    <w:p>
      <w:pPr>
        <w:spacing w:after="90"/>
      </w:pPr>
      <w:r>
        <w:rPr>
          <w:b/>
          <w:sz w:val="17"/>
        </w:rPr>
        <w:t xml:space="preserve">Use: </w:t>
      </w:r>
      <w:r>
        <w:rPr>
          <w:b w:val="0"/>
          <w:sz w:val="17"/>
        </w:rPr>
        <w:t xml:space="preserve">The most competitive agent completed 30% of simulated workplace tasks autonomously; more difficult long-horizon tasks remain beyond current systems. </w:t>
      </w:r>
      <w:r>
        <w:rPr>
          <w:b/>
          <w:sz w:val="17"/>
        </w:rPr>
        <w:t xml:space="preserve">Limit: </w:t>
      </w:r>
      <w:r>
        <w:rPr>
          <w:b w:val="0"/>
          <w:sz w:val="17"/>
        </w:rPr>
        <w:t>Current frontier performance after the tested models; production reliability.</w:t>
      </w:r>
    </w:p>
    <w:p>
      <w:pPr>
        <w:spacing w:after="50"/>
      </w:pPr>
      <w:r>
        <w:rPr>
          <w:b/>
          <w:sz w:val="17"/>
        </w:rPr>
        <w:t xml:space="preserve">[E12] Gartner. Gartner Predicts Over 40% of Agentic AI Projects Will Be Canceled by End of 2027. 2025-06-25. </w:t>
      </w:r>
      <w:r>
        <w:rPr>
          <w:b w:val="0"/>
          <w:sz w:val="17"/>
        </w:rPr>
        <w:t>https://www.gartner.com/en/newsroom/press-releases/2025-06-25-gartner-predicts-over-40-percent-of-agentic-ai-projects-will-be-canceled-by-end-of-2027.</w:t>
      </w:r>
    </w:p>
    <w:p>
      <w:pPr>
        <w:spacing w:after="90"/>
      </w:pPr>
      <w:r>
        <w:rPr>
          <w:b/>
          <w:sz w:val="17"/>
        </w:rPr>
        <w:t xml:space="preserve">Use: </w:t>
      </w:r>
      <w:r>
        <w:rPr>
          <w:b w:val="0"/>
          <w:sz w:val="17"/>
        </w:rPr>
        <w:t xml:space="preserve">Over 40% of agentic AI projects forecast to be canceled by end-2027 (cost, unclear value, risk controls); only about 130 of thousands of 'agentic AI' vendors judged real ('agent washing'); January 2025 poll of 3,412 webinar attendees: 19% significant investment, 42% conservative. </w:t>
      </w:r>
      <w:r>
        <w:rPr>
          <w:b/>
          <w:sz w:val="17"/>
        </w:rPr>
        <w:t xml:space="preserve">Limit: </w:t>
      </w:r>
      <w:r>
        <w:rPr>
          <w:b w:val="0"/>
          <w:sz w:val="17"/>
        </w:rPr>
        <w:t>Measured outcomes; it is a forecast and a non-random poll. Gartner's 2028 adoption predictions are equally forecasts.</w:t>
      </w:r>
    </w:p>
    <w:p>
      <w:pPr>
        <w:spacing w:after="50"/>
      </w:pPr>
      <w:r>
        <w:rPr>
          <w:b/>
          <w:sz w:val="17"/>
        </w:rPr>
        <w:t xml:space="preserve">[E13] Stack Overflow. Stack Overflow 2025 Developer Survey press release. 2025-07-29. </w:t>
      </w:r>
      <w:r>
        <w:rPr>
          <w:b w:val="0"/>
          <w:sz w:val="17"/>
        </w:rPr>
        <w:t>https://stackoverflow.co/company/press/archive/stack-overflow-2025-developer-survey/</w:t>
      </w:r>
    </w:p>
    <w:p>
      <w:pPr>
        <w:spacing w:after="90"/>
      </w:pPr>
      <w:r>
        <w:rPr>
          <w:b/>
          <w:sz w:val="17"/>
        </w:rPr>
        <w:t xml:space="preserve">Use: </w:t>
      </w:r>
      <w:r>
        <w:rPr>
          <w:b w:val="0"/>
          <w:sz w:val="17"/>
        </w:rPr>
        <w:t xml:space="preserve">84% use or plan to use AI tools; 31% currently use AI agents, 17% plan to, 38% do not plan to; 46% do not trust the accuracy of AI output. </w:t>
      </w:r>
      <w:r>
        <w:rPr>
          <w:b/>
          <w:sz w:val="17"/>
        </w:rPr>
        <w:t xml:space="preserve">Limit: </w:t>
      </w:r>
      <w:r>
        <w:rPr>
          <w:b w:val="0"/>
          <w:sz w:val="17"/>
        </w:rPr>
        <w:t>Representativeness of all developers; dependence or irreversibility.</w:t>
      </w:r>
    </w:p>
    <w:p>
      <w:pPr>
        <w:spacing w:after="50"/>
      </w:pPr>
      <w:r>
        <w:rPr>
          <w:b/>
          <w:sz w:val="17"/>
        </w:rPr>
        <w:t xml:space="preserve">[E14] Anthropic. Donating the Model Context Protocol and establishing the Agentic AI Foundation. 2025-12-09. </w:t>
      </w:r>
      <w:r>
        <w:rPr>
          <w:b w:val="0"/>
          <w:sz w:val="17"/>
        </w:rPr>
        <w:t>https://www.anthropic.com/news/donating-the-model-context-protocol-and-establishing-of-the-agentic-ai-foundation</w:t>
      </w:r>
    </w:p>
    <w:p>
      <w:pPr>
        <w:spacing w:after="90"/>
      </w:pPr>
      <w:r>
        <w:rPr>
          <w:b/>
          <w:sz w:val="17"/>
        </w:rPr>
        <w:t xml:space="preserve">Use: </w:t>
      </w:r>
      <w:r>
        <w:rPr>
          <w:b w:val="0"/>
          <w:sz w:val="17"/>
        </w:rPr>
        <w:t xml:space="preserve">MCP donated to the Linux Foundation's Agentic AI Foundation, co-founded by Anthropic, Block and OpenAI; more than 10,000 active public MCP servers and 97M+ monthly SDK downloads; adopted by ChatGPT, Cursor, Gemini, Microsoft Copilot, VS Code: an early catalytic/infrastructure signal. </w:t>
      </w:r>
      <w:r>
        <w:rPr>
          <w:b/>
          <w:sz w:val="17"/>
        </w:rPr>
        <w:t xml:space="preserve">Limit: </w:t>
      </w:r>
      <w:r>
        <w:rPr>
          <w:b w:val="0"/>
          <w:sz w:val="17"/>
        </w:rPr>
        <w:t>Independent verification of counts; realized business value.</w:t>
      </w:r>
    </w:p>
    <w:p>
      <w:pPr>
        <w:spacing w:after="50"/>
      </w:pPr>
      <w:r>
        <w:rPr>
          <w:b/>
          <w:sz w:val="17"/>
        </w:rPr>
        <w:t xml:space="preserve">[E15] Anthropic. Building effective agents. 2024-12-19; living page accessed 2026-10-18. </w:t>
      </w:r>
      <w:r>
        <w:rPr>
          <w:b w:val="0"/>
          <w:sz w:val="17"/>
        </w:rPr>
        <w:t>https://www.anthropic.com/engineering/building-effective-agents</w:t>
      </w:r>
    </w:p>
    <w:p>
      <w:pPr>
        <w:spacing w:after="90"/>
      </w:pPr>
      <w:r>
        <w:rPr>
          <w:b/>
          <w:sz w:val="17"/>
        </w:rPr>
        <w:t xml:space="preserve">Use: </w:t>
      </w:r>
      <w:r>
        <w:rPr>
          <w:b w:val="0"/>
          <w:sz w:val="17"/>
        </w:rPr>
        <w:t xml:space="preserve">Workflows orchestrate LLMs and tools through predefined code paths; agents dynamically direct their own processes and tool use; agents trade latency and cost for performance and carry compounding-error risk; start with the simplest solution. </w:t>
      </w:r>
      <w:r>
        <w:rPr>
          <w:b/>
          <w:sz w:val="17"/>
        </w:rPr>
        <w:t xml:space="preserve">Limit: </w:t>
      </w:r>
      <w:r>
        <w:rPr>
          <w:b w:val="0"/>
          <w:sz w:val="17"/>
        </w:rPr>
        <w:t>Independent evidence of agent superiority or reliability.</w:t>
      </w:r>
    </w:p>
    <w:p>
      <w:pPr>
        <w:spacing w:after="50"/>
      </w:pPr>
      <w:r>
        <w:rPr>
          <w:b/>
          <w:sz w:val="17"/>
        </w:rPr>
        <w:t xml:space="preserve">[E16] CNBC (quoting Sundar Pichai). Google CEO: AI is more important than fire or electricity. 2018-02-01 (URL-dated); remark at a January 2018 town hall. </w:t>
      </w:r>
      <w:r>
        <w:rPr>
          <w:b w:val="0"/>
          <w:sz w:val="17"/>
        </w:rPr>
        <w:t>https://www.cnbc.com/amp/2018/02/01/google-ceo-sundar-pichai-ai-is-more-important-than-fire-electricity.html</w:t>
      </w:r>
    </w:p>
    <w:p>
      <w:pPr>
        <w:spacing w:after="90"/>
      </w:pPr>
      <w:r>
        <w:rPr>
          <w:b/>
          <w:sz w:val="17"/>
        </w:rPr>
        <w:t xml:space="preserve">Use: </w:t>
      </w:r>
      <w:r>
        <w:rPr>
          <w:b w:val="0"/>
          <w:sz w:val="17"/>
        </w:rPr>
        <w:t xml:space="preserve">That a prominent executive said AI is 'more profound than ... electricity or fire'. Used only to test hype resistance. </w:t>
      </w:r>
      <w:r>
        <w:rPr>
          <w:b/>
          <w:sz w:val="17"/>
        </w:rPr>
        <w:t xml:space="preserve">Limit: </w:t>
      </w:r>
      <w:r>
        <w:rPr>
          <w:b w:val="0"/>
          <w:sz w:val="17"/>
        </w:rPr>
        <w:t>Any classification. It is an opinion from an interested party, and it predates LLM agents.</w:t>
      </w:r>
    </w:p>
    <w:p>
      <w:pPr>
        <w:spacing w:after="50"/>
      </w:pPr>
      <w:r>
        <w:rPr>
          <w:b/>
          <w:sz w:val="17"/>
        </w:rPr>
        <w:t xml:space="preserve">[E17] NYU School of Professional Studies. NYU SPS Graduate Admissions. Undated live page; accessed 2026-10-18. </w:t>
      </w:r>
      <w:r>
        <w:rPr>
          <w:b w:val="0"/>
          <w:sz w:val="17"/>
        </w:rPr>
        <w:t>https://www.sps.nyu.edu/join/graduate-admissions.html</w:t>
      </w:r>
    </w:p>
    <w:p>
      <w:pPr>
        <w:spacing w:after="90"/>
      </w:pPr>
      <w:r>
        <w:rPr>
          <w:b/>
          <w:sz w:val="17"/>
        </w:rPr>
        <w:t xml:space="preserve">Use: </w:t>
      </w:r>
      <w:r>
        <w:rPr>
          <w:b w:val="0"/>
          <w:sz w:val="17"/>
        </w:rPr>
        <w:t xml:space="preserve">Public admissions contact (212-998-7100, sps.admissions@nyu.edu), weekday appointments, Zoom information sessions, and 'For immediate assistance, try our chatbot, Violet.' The SPS baseline therefore already includes a public chatbot. </w:t>
      </w:r>
      <w:r>
        <w:rPr>
          <w:b/>
          <w:sz w:val="17"/>
        </w:rPr>
        <w:t xml:space="preserve">Limit: </w:t>
      </w:r>
      <w:r>
        <w:rPr>
          <w:b w:val="0"/>
          <w:sz w:val="17"/>
        </w:rPr>
        <w:t>Violet's architecture, vendor, scope, tool use, accuracy or usage; internal workflows, costs or adoption posture.</w:t>
      </w:r>
    </w:p>
    <w:sectPr w:rsidR="00630F3A" w:rsidSect="00034616">
      <w:headerReference w:type="default" r:id="rId8"/>
      <w:footerReference w:type="default" r:id="rId9"/>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34FE" w:rsidRDefault="00F834FE">
      <w:pPr>
        <w:spacing w:after="0" w:line="240" w:lineRule="auto"/>
        <w:rPr>
          <w:rFonts w:hint="eastAsia"/>
        </w:rPr>
      </w:pPr>
      <w:r>
        <w:separator/>
      </w:r>
    </w:p>
  </w:endnote>
  <w:endnote w:type="continuationSeparator" w:id="0">
    <w:p w:rsidR="00F834FE" w:rsidRDefault="00F834F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Footer"/>
      <w:jc w:val="center"/>
      <w:rPr>
        <w:rFonts w:hint="eastAsia"/>
      </w:rPr>
    </w:pPr>
    <w:r>
      <w:rPr>
        <w:color w:val="666666"/>
        <w:sz w:val="16"/>
      </w:rPr>
      <w:t>Assignment 4 Agent Record | Minghan Liu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34FE" w:rsidRDefault="00F834FE">
      <w:pPr>
        <w:spacing w:after="0" w:line="240" w:lineRule="auto"/>
        <w:rPr>
          <w:rFonts w:hint="eastAsia"/>
        </w:rPr>
      </w:pPr>
      <w:r>
        <w:separator/>
      </w:r>
    </w:p>
  </w:footnote>
  <w:footnote w:type="continuationSeparator" w:id="0">
    <w:p w:rsidR="00F834FE" w:rsidRDefault="00F834F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Header"/>
      <w:jc w:val="right"/>
      <w:rPr>
        <w:rFonts w:hint="eastAsia"/>
      </w:rPr>
    </w:pPr>
    <w:r>
      <w:rPr>
        <w:b/>
        <w:color w:val="57068C"/>
        <w:sz w:val="16"/>
      </w:rPr>
      <w:t>NYU SPS | MASY1-GC 1800 | EMERGING TECHNOLOGIES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2544149">
    <w:abstractNumId w:val="8"/>
  </w:num>
  <w:num w:numId="2" w16cid:durableId="1931616119">
    <w:abstractNumId w:val="6"/>
  </w:num>
  <w:num w:numId="3" w16cid:durableId="1238203996">
    <w:abstractNumId w:val="5"/>
  </w:num>
  <w:num w:numId="4" w16cid:durableId="1845591355">
    <w:abstractNumId w:val="4"/>
  </w:num>
  <w:num w:numId="5" w16cid:durableId="203055673">
    <w:abstractNumId w:val="7"/>
  </w:num>
  <w:num w:numId="6" w16cid:durableId="921061524">
    <w:abstractNumId w:val="3"/>
  </w:num>
  <w:num w:numId="7" w16cid:durableId="291711437">
    <w:abstractNumId w:val="2"/>
  </w:num>
  <w:num w:numId="8" w16cid:durableId="1521776730">
    <w:abstractNumId w:val="1"/>
  </w:num>
  <w:num w:numId="9" w16cid:durableId="14424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4B14"/>
    <w:rsid w:val="0029639D"/>
    <w:rsid w:val="00326F90"/>
    <w:rsid w:val="00630F3A"/>
    <w:rsid w:val="006E721C"/>
    <w:rsid w:val="00AA1D8D"/>
    <w:rsid w:val="00B47730"/>
    <w:rsid w:val="00CB0664"/>
    <w:rsid w:val="00F834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C0CD959-1D97-D94F-BA39-D34FFBA87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Liberation Sans" w:hAnsi="Liberation Sans"/>
      <w:sz w:val="19"/>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color w:val="57068C"/>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57068C"/>
      <w:sz w:val="25"/>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b/>
      <w:bCs/>
      <w:color w:val="25252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57068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Liberation Sans" w:hAnsi="Liberation Sans"/>
      <w:color w:val="666666"/>
      <w:sz w:val="18"/>
    </w:rPr>
  </w:style>
  <w:style w:type="paragraph" w:customStyle="1" w:styleId="Callout">
    <w:name w:val="Callout"/>
    <w:pPr>
      <w:spacing w:after="80"/>
    </w:pPr>
    <w:rPr>
      <w:rFonts w:ascii="Liberation Sans" w:hAnsi="Liberation Sans"/>
      <w:b/>
      <w:color w:val="57068C"/>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7921</Words>
  <Characters>45155</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Emerging Technologies - Specialist Agent Record Template</dc:title>
  <dc:subject>Student instructions for weekly individual assignments</dc:subject>
  <dc:creator>Andres Fortino</dc:creator>
  <cp:keywords>Advanced Business Informatics, weekly assignments, professional practice, AI, judgment, proof of concept</cp:keywords>
  <dc:description>generated by python-docx</dc:description>
  <cp:lastModifiedBy>Andres Fortino</cp:lastModifiedBy>
  <cp:revision>2</cp:revision>
  <dcterms:created xsi:type="dcterms:W3CDTF">2026-08-13T19:48:00Z</dcterms:created>
  <dcterms:modified xsi:type="dcterms:W3CDTF">2026-08-13T19:48:00Z</dcterms:modified>
  <cp:category/>
</cp:coreProperties>
</file>