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二师父定投学堂周报第58期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2020.</w:t>
      </w:r>
      <w:r>
        <w:rPr>
          <w:rFonts w:ascii="Tahoma" w:hAnsi="Tahoma" w:eastAsia="宋体" w:cs="Tahoma"/>
          <w:b/>
          <w:color w:val="000000"/>
          <w:kern w:val="0"/>
          <w:sz w:val="24"/>
          <w:szCs w:val="24"/>
        </w:rPr>
        <w:t>5</w:t>
      </w:r>
      <w:r>
        <w:rPr>
          <w:rFonts w:hint="eastAsia" w:ascii="Tahoma" w:hAnsi="Tahoma" w:eastAsia="宋体" w:cs="Tahoma"/>
          <w:b/>
          <w:color w:val="000000"/>
          <w:kern w:val="0"/>
          <w:sz w:val="24"/>
          <w:szCs w:val="24"/>
        </w:rPr>
        <w:t>.9</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fldChar w:fldCharType="begin"/>
      </w:r>
      <w:r>
        <w:instrText xml:space="preserve"> HYPERLINK "mailto:ershifu1993@126.com" </w:instrText>
      </w:r>
      <w:r>
        <w:fldChar w:fldCharType="separate"/>
      </w:r>
      <w:r>
        <w:rPr>
          <w:rStyle w:val="8"/>
          <w:rFonts w:hint="eastAsia" w:ascii="仿宋" w:hAnsi="仿宋" w:eastAsia="仿宋" w:cs="Tahoma"/>
          <w:kern w:val="0"/>
          <w:sz w:val="28"/>
          <w:szCs w:val="28"/>
        </w:rPr>
        <w:t>ershifudt@126.com</w:t>
      </w:r>
      <w:r>
        <w:rPr>
          <w:rStyle w:val="8"/>
          <w:rFonts w:hint="eastAsia"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ind w:left="140" w:right="225" w:rightChars="107"/>
        <w:jc w:val="left"/>
        <w:rPr>
          <w:rFonts w:ascii="楷体" w:hAnsi="楷体" w:eastAsia="楷体"/>
          <w:b/>
          <w:bCs/>
          <w:sz w:val="24"/>
          <w:szCs w:val="24"/>
        </w:rPr>
      </w:pPr>
      <w:r>
        <w:rPr>
          <w:rFonts w:hint="eastAsia" w:ascii="楷体" w:hAnsi="楷体" w:eastAsia="楷体"/>
          <w:b/>
          <w:bCs/>
          <w:sz w:val="24"/>
          <w:szCs w:val="24"/>
        </w:rPr>
        <w:drawing>
          <wp:inline distT="0" distB="0" distL="114300" distR="114300">
            <wp:extent cx="5267325" cy="1878330"/>
            <wp:effectExtent l="0" t="0" r="5715" b="1143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7"/>
                    <a:stretch>
                      <a:fillRect/>
                    </a:stretch>
                  </pic:blipFill>
                  <pic:spPr>
                    <a:xfrm>
                      <a:off x="0" y="0"/>
                      <a:ext cx="5267325" cy="1878330"/>
                    </a:xfrm>
                    <a:prstGeom prst="rect">
                      <a:avLst/>
                    </a:prstGeom>
                  </pic:spPr>
                </pic:pic>
              </a:graphicData>
            </a:graphic>
          </wp:inline>
        </w:drawing>
      </w:r>
    </w:p>
    <w:p>
      <w:pPr>
        <w:widowControl/>
        <w:shd w:val="clear" w:color="auto" w:fill="FFFFFF"/>
        <w:spacing w:line="315" w:lineRule="atLeast"/>
        <w:ind w:left="140" w:right="225" w:rightChars="107"/>
        <w:jc w:val="left"/>
        <w:rPr>
          <w:rFonts w:ascii="楷体" w:hAnsi="楷体" w:eastAsia="楷体"/>
          <w:b/>
          <w:bCs/>
          <w:sz w:val="24"/>
          <w:szCs w:val="24"/>
        </w:rPr>
      </w:pPr>
    </w:p>
    <w:p>
      <w:pPr>
        <w:widowControl/>
        <w:shd w:val="clear" w:color="auto" w:fill="FFFFFF"/>
        <w:spacing w:line="315" w:lineRule="atLeast"/>
        <w:jc w:val="left"/>
        <w:rPr>
          <w:rFonts w:hint="eastAsia" w:ascii="楷体" w:hAnsi="楷体" w:eastAsia="楷体"/>
          <w:b/>
          <w:bCs/>
          <w:color w:val="FF0000"/>
          <w:sz w:val="24"/>
          <w:szCs w:val="24"/>
          <w:lang w:val="en-US" w:eastAsia="zh-CN"/>
        </w:rPr>
      </w:pPr>
      <w:r>
        <w:rPr>
          <w:rFonts w:hint="eastAsia" w:ascii="楷体" w:hAnsi="楷体" w:eastAsia="楷体"/>
          <w:b/>
          <w:bCs/>
          <w:color w:val="FF0000"/>
          <w:sz w:val="24"/>
          <w:szCs w:val="24"/>
        </w:rPr>
        <w:t>全市场指数市盈率百分位2</w:t>
      </w:r>
      <w:r>
        <w:rPr>
          <w:rFonts w:hint="eastAsia" w:ascii="楷体" w:hAnsi="楷体" w:eastAsia="楷体"/>
          <w:b/>
          <w:bCs/>
          <w:color w:val="FF0000"/>
          <w:sz w:val="24"/>
          <w:szCs w:val="24"/>
          <w:lang w:val="en-US" w:eastAsia="zh-CN"/>
        </w:rPr>
        <w:t>8.99</w:t>
      </w:r>
      <w:r>
        <w:rPr>
          <w:rFonts w:hint="eastAsia" w:ascii="楷体" w:hAnsi="楷体" w:eastAsia="楷体"/>
          <w:b/>
          <w:bCs/>
          <w:color w:val="FF0000"/>
          <w:sz w:val="24"/>
          <w:szCs w:val="24"/>
        </w:rPr>
        <w:t>%，</w:t>
      </w:r>
      <w:r>
        <w:rPr>
          <w:rFonts w:hint="eastAsia" w:ascii="楷体" w:hAnsi="楷体" w:eastAsia="楷体"/>
          <w:b/>
          <w:bCs/>
          <w:color w:val="FF0000"/>
          <w:sz w:val="24"/>
          <w:szCs w:val="24"/>
          <w:lang w:val="en-US" w:eastAsia="zh-CN"/>
        </w:rPr>
        <w:t>上次准备大跌继续加仓，不过市场反弹了，主要是刘总和美方毛衣战代表谈话利好。</w:t>
      </w:r>
    </w:p>
    <w:p>
      <w:pPr>
        <w:widowControl/>
        <w:shd w:val="clear" w:color="auto" w:fill="FFFFFF"/>
        <w:spacing w:line="315" w:lineRule="atLeast"/>
        <w:jc w:val="left"/>
        <w:rPr>
          <w:rFonts w:hint="eastAsia" w:ascii="楷体" w:hAnsi="楷体" w:eastAsia="楷体"/>
          <w:b/>
          <w:bCs/>
          <w:color w:val="FF0000"/>
          <w:sz w:val="24"/>
          <w:szCs w:val="24"/>
          <w:lang w:val="en-US" w:eastAsia="zh-CN"/>
        </w:rPr>
      </w:pPr>
    </w:p>
    <w:p>
      <w:pPr>
        <w:widowControl/>
        <w:shd w:val="clear" w:color="auto" w:fill="FFFFFF"/>
        <w:spacing w:line="315" w:lineRule="atLeast"/>
        <w:jc w:val="left"/>
        <w:rPr>
          <w:rFonts w:hint="eastAsia"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5月可能会有一波行情。格雷厄姆指数2.13，虽然市场上涨，整体估值仍旧是偏低的。对于低估的指数继续定投。我们看到的是3到5年以后，而不是短期的蝇头小利。</w:t>
      </w:r>
    </w:p>
    <w:p>
      <w:pPr>
        <w:widowControl/>
        <w:shd w:val="clear" w:color="auto" w:fill="FFFFFF"/>
        <w:spacing w:line="315" w:lineRule="atLeast"/>
        <w:jc w:val="left"/>
        <w:rPr>
          <w:rFonts w:hint="eastAsia" w:ascii="楷体" w:hAnsi="楷体" w:eastAsia="楷体"/>
          <w:b/>
          <w:bCs/>
          <w:color w:val="FF0000"/>
          <w:sz w:val="24"/>
          <w:szCs w:val="24"/>
          <w:lang w:val="en-US" w:eastAsia="zh-CN"/>
        </w:rPr>
      </w:pPr>
    </w:p>
    <w:p>
      <w:pPr>
        <w:widowControl/>
        <w:shd w:val="clear" w:color="auto" w:fill="FFFFFF"/>
        <w:spacing w:line="315" w:lineRule="atLeast"/>
        <w:jc w:val="left"/>
        <w:rPr>
          <w:rFonts w:hint="default"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不过根据鳄鱼计划的投资条件，如果继续上涨的话，鳄鱼计划也逐步暂停啦。等待下一次机会。</w:t>
      </w:r>
      <w:bookmarkStart w:id="0" w:name="_GoBack"/>
      <w:bookmarkEnd w:id="0"/>
    </w:p>
    <w:p>
      <w:pPr>
        <w:widowControl/>
        <w:shd w:val="clear" w:color="auto" w:fill="FFFFFF"/>
        <w:spacing w:line="315" w:lineRule="atLeast"/>
        <w:jc w:val="left"/>
        <w:rPr>
          <w:rFonts w:hint="eastAsia" w:ascii="楷体" w:hAnsi="楷体" w:eastAsia="楷体"/>
          <w:b/>
          <w:bCs/>
          <w:color w:val="FF0000"/>
          <w:sz w:val="24"/>
          <w:szCs w:val="24"/>
        </w:rPr>
      </w:pPr>
    </w:p>
    <w:p>
      <w:pPr>
        <w:widowControl/>
        <w:shd w:val="clear" w:color="auto" w:fill="FFFFFF"/>
        <w:spacing w:line="315" w:lineRule="atLeast"/>
        <w:jc w:val="center"/>
        <w:rPr>
          <w:rFonts w:ascii="楷体" w:hAnsi="楷体" w:eastAsia="楷体"/>
          <w:b/>
          <w:bCs/>
          <w:color w:val="FF0000"/>
          <w:sz w:val="24"/>
          <w:szCs w:val="24"/>
        </w:rPr>
      </w:pPr>
    </w:p>
    <w:p>
      <w:pPr>
        <w:widowControl/>
        <w:shd w:val="clear" w:color="auto" w:fill="FFFFFF"/>
        <w:spacing w:line="315" w:lineRule="atLeast"/>
        <w:jc w:val="center"/>
        <w:rPr>
          <w:rFonts w:ascii="Tahoma" w:hAnsi="Tahoma" w:eastAsia="宋体" w:cs="Tahoma"/>
          <w:b/>
          <w:color w:val="2E74B5"/>
          <w:kern w:val="0"/>
          <w:sz w:val="44"/>
          <w:szCs w:val="44"/>
        </w:rPr>
      </w:pPr>
      <w:r>
        <w:rPr>
          <w:rFonts w:hint="eastAsia" w:ascii="Tahoma" w:hAnsi="Tahoma" w:eastAsia="宋体" w:cs="Tahoma"/>
          <w:b/>
          <w:color w:val="2E74B5"/>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吴涛 提问：二师父，你好！我看近期价值股不错，想问下有哪些价值类的ETF基金，还问下现阶段有哪些低估的价值类ETF基金。谢谢！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smart价值型策略，有300价值，全指价值，500价值，不过之前表现都很一般。</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激流勇进 提问：师父上午好！ 目前银行估值很低，我想建立个底仓，主要是手里有长期不用的闲钱，等待市场轮动反转，这个思维正确吗？ 目前选择银行指数基金怎么样？ 请指教</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你拿沪深300建底仓确定性大一些，实体经济不行，银行起不来，就生活中很多厂子关闭，有的早餐店大面积转租，实体经济好，银行才会好</w:t>
      </w:r>
    </w:p>
    <w:p>
      <w:pPr>
        <w:widowControl/>
        <w:jc w:val="left"/>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陈洲 提问：目前定投：50AH优选+基本面60，中证500，昨天开始定投了中证银行，中证银行低估，下面说实体不行银行起不来，中证银行是不是不要投</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是的，我已经暂停了，场外之前也调仓了，等待盈利再收割，之前预期是实体经济20年向好，不过现在这个事对实体经济影响很大，银行业的表现是能反应经济总体情况的</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好运玲玲 提问：二师父您好！50ah占总仓位14%，现在盈利差不多一个点，深红利占总仓位1.6%，50ah可否调仓一部分到深红利？</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可以调整的，深红利也很有价值，深市股票成长性也更好</w:t>
      </w:r>
    </w:p>
    <w:p>
      <w:pPr>
        <w:widowControl/>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范毅君 提问：二师父，现在沪深300和中证500都比较高了，现阶段定投什么比较合适，坐网格最近什么比较合适呀</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沪深300估值不高，只是正常估值，对于大盘股指数，全市场指数市盈率百分位30以下仍旧可以投，目前深红利，基本面60，50ah可以，行业指数电器，300非银可以，人工智能低估后轻仓定投也可以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网格还是以券商和500为主</w:t>
      </w:r>
    </w:p>
    <w:p>
      <w:pPr>
        <w:widowControl/>
        <w:jc w:val="left"/>
        <w:rPr>
          <w:rFonts w:ascii="楷体" w:hAnsi="楷体" w:eastAsia="楷体"/>
          <w:b/>
          <w:color w:val="4472C4"/>
          <w:kern w:val="0"/>
          <w:sz w:val="24"/>
          <w:szCs w:val="24"/>
        </w:rPr>
      </w:pPr>
    </w:p>
    <w:p>
      <w:pPr>
        <w:widowControl/>
        <w:jc w:val="left"/>
        <w:rPr>
          <w:rFonts w:ascii="楷体" w:hAnsi="楷体" w:eastAsia="楷体"/>
          <w:b/>
          <w:color w:val="4472C4"/>
          <w:kern w:val="0"/>
          <w:sz w:val="24"/>
          <w:szCs w:val="24"/>
        </w:rPr>
      </w:pPr>
      <w:r>
        <w:rPr>
          <w:rFonts w:ascii="楷体" w:hAnsi="楷体" w:eastAsia="楷体"/>
          <w:b/>
          <w:color w:val="4472C4"/>
          <w:kern w:val="0"/>
          <w:sz w:val="24"/>
          <w:szCs w:val="24"/>
        </w:rPr>
        <w:t>子辰 提问：委托价格与成交价格差异这么大也能成交？是不是意味着半导体又要往下跌了</w:t>
      </w:r>
    </w:p>
    <w:p>
      <w:pPr>
        <w:widowControl/>
        <w:jc w:val="left"/>
        <w:rPr>
          <w:rFonts w:ascii="楷体" w:hAnsi="楷体" w:eastAsia="楷体"/>
          <w:b/>
          <w:color w:val="4472C4"/>
          <w:kern w:val="0"/>
          <w:sz w:val="24"/>
          <w:szCs w:val="24"/>
        </w:rPr>
      </w:pPr>
    </w:p>
    <w:p>
      <w:pPr>
        <w:widowControl/>
        <w:jc w:val="left"/>
        <w:rPr>
          <w:rFonts w:ascii="楷体" w:hAnsi="楷体" w:eastAsia="楷体"/>
          <w:sz w:val="24"/>
          <w:szCs w:val="24"/>
        </w:rPr>
      </w:pPr>
      <w:r>
        <w:rPr>
          <w:rFonts w:ascii="楷体" w:hAnsi="楷体" w:eastAsia="楷体"/>
          <w:sz w:val="24"/>
          <w:szCs w:val="24"/>
        </w:rPr>
        <w:t xml:space="preserve">你这个价格设置高了，如果你的委托价格高于市场价格，就会以市场价格成交 </w:t>
      </w:r>
    </w:p>
    <w:p>
      <w:pPr>
        <w:widowControl/>
        <w:jc w:val="left"/>
        <w:rPr>
          <w:rFonts w:ascii="楷体" w:hAnsi="楷体" w:eastAsia="楷体"/>
          <w:sz w:val="24"/>
          <w:szCs w:val="24"/>
        </w:rPr>
      </w:pPr>
    </w:p>
    <w:p>
      <w:pPr>
        <w:widowControl/>
        <w:jc w:val="left"/>
        <w:rPr>
          <w:rFonts w:ascii="楷体" w:hAnsi="楷体" w:eastAsia="楷体"/>
          <w:sz w:val="24"/>
          <w:szCs w:val="24"/>
        </w:rPr>
      </w:pPr>
      <w:r>
        <w:rPr>
          <w:rFonts w:ascii="楷体" w:hAnsi="楷体" w:eastAsia="楷体"/>
          <w:sz w:val="24"/>
          <w:szCs w:val="24"/>
        </w:rPr>
        <w:t>半导体定投不适合，可以看均线做趋势，如果盈利就一直拿着，设定10个点止损位置，涨跌不好说，第一季度业绩还是不错的，今年预测盈利也很好，peg在1.6，定投他不如人工智能</w:t>
      </w:r>
    </w:p>
    <w:p>
      <w:pPr>
        <w:widowControl/>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阳光 提问：师父好：请问天天基金里面的累计收益是指什么啊？是持有基金的累计收益？还是所有交易的累计收益呢？谢谢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所有交易的累计收益，包括之前卖出的部分</w:t>
      </w:r>
    </w:p>
    <w:p>
      <w:pPr>
        <w:widowControl/>
        <w:jc w:val="left"/>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圣诞结</w:t>
      </w:r>
      <w:r>
        <w:rPr>
          <w:rFonts w:ascii="Calibri" w:hAnsi="Calibri" w:eastAsia="楷体" w:cs="Calibri"/>
          <w:b/>
          <w:color w:val="4472C4"/>
          <w:kern w:val="0"/>
          <w:sz w:val="24"/>
          <w:szCs w:val="24"/>
        </w:rPr>
        <w:t>®</w:t>
      </w:r>
      <w:r>
        <w:rPr>
          <w:rFonts w:ascii="楷体" w:hAnsi="楷体" w:eastAsia="楷体"/>
          <w:b/>
          <w:color w:val="4472C4"/>
          <w:kern w:val="0"/>
          <w:sz w:val="24"/>
          <w:szCs w:val="24"/>
        </w:rPr>
        <w:t xml:space="preserve"> 提问：二师父，之前定投的天弘中证银行占比较大，后期银行涨势不好，想换一部分沪深300或者300非银可以吗？（之前一直没投沪深300）</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可以的，大概多少仓位，银行是在经济低迷期表现不好，等经济复苏也会起来的，不用太担心，换的话深红利和300非银更好一些</w:t>
      </w:r>
    </w:p>
    <w:p>
      <w:pPr>
        <w:widowControl/>
        <w:jc w:val="left"/>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四海为家 提问：二师父，看你最近一直在说深红利，我想问下，难道深60不行了吗？我一直在坚持深60低估投入，这种策略需要改变了吗？</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可以的，两者持仓差别不大，50ah比较弱，含有银行股太多，深红利和基本面60都很不错的，主要是对比之后深红利持仓股票的盈利增速和未来增长预期更高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整体看的话两个持仓股相同，选择一个就行，没有本质区别，基本面60可以持有也可以继续定投，如果二选一，更倾向于深红利</w:t>
      </w:r>
    </w:p>
    <w:p>
      <w:pPr>
        <w:widowControl/>
        <w:jc w:val="left"/>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Zero Fei 提问：二师父，最近这两天无论是券商理财（短债部分）还是债券基金都在跌，是什么内在原因呢，本来想少量配置作为风险抵抗的，这段时间股市比较好，是不是全配置股权就好，但什么时候又配置回债基，看国债收益率就可以，担心把握不好切换时机</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长期看股票收益率高于债券，等没有好的指数基金可以投资，而且债券收益率高于银行理财收益率的时候就能投资债券了</w:t>
      </w:r>
    </w:p>
    <w:p>
      <w:pPr>
        <w:widowControl/>
        <w:jc w:val="left"/>
        <w:rPr>
          <w:rFonts w:hint="eastAsia" w:ascii="楷体" w:hAnsi="楷体" w:eastAsia="楷体"/>
          <w:b/>
          <w:color w:val="4472C4"/>
          <w:kern w:val="0"/>
          <w:sz w:val="24"/>
          <w:szCs w:val="24"/>
        </w:rPr>
      </w:pPr>
    </w:p>
    <w:p>
      <w:pPr>
        <w:widowControl/>
        <w:jc w:val="left"/>
        <w:rPr>
          <w:rFonts w:ascii="楷体" w:hAnsi="楷体" w:eastAsia="楷体"/>
          <w:b/>
          <w:color w:val="4472C4"/>
          <w:kern w:val="0"/>
          <w:sz w:val="24"/>
          <w:szCs w:val="24"/>
        </w:rPr>
      </w:pPr>
    </w:p>
    <w:p>
      <w:pPr>
        <w:widowControl/>
        <w:jc w:val="left"/>
        <w:rPr>
          <w:rFonts w:hint="eastAsia" w:ascii="楷体" w:hAnsi="楷体" w:eastAsia="楷体"/>
          <w:b/>
          <w:color w:val="4472C4"/>
          <w:kern w:val="0"/>
          <w:sz w:val="24"/>
          <w:szCs w:val="24"/>
        </w:rPr>
      </w:pPr>
    </w:p>
    <w:p>
      <w:pPr>
        <w:widowControl/>
        <w:jc w:val="left"/>
        <w:rPr>
          <w:rFonts w:hint="eastAsia" w:ascii="楷体" w:hAnsi="楷体" w:eastAsia="楷体"/>
          <w:b/>
          <w:color w:val="4472C4"/>
          <w:kern w:val="0"/>
          <w:sz w:val="24"/>
          <w:szCs w:val="24"/>
        </w:rPr>
      </w:pPr>
    </w:p>
    <w:p>
      <w:pPr>
        <w:widowControl/>
        <w:spacing w:line="400" w:lineRule="exact"/>
        <w:jc w:val="left"/>
        <w:rPr>
          <w:rFonts w:ascii="仿宋" w:hAnsi="仿宋" w:eastAsia="仿宋" w:cs="Tahoma"/>
          <w:color w:val="000000"/>
          <w:kern w:val="0"/>
          <w:sz w:val="28"/>
          <w:szCs w:val="28"/>
        </w:rPr>
      </w:pPr>
      <w:r>
        <w:rPr>
          <w:rFonts w:hint="eastAsia" w:ascii="仿宋" w:hAnsi="仿宋" w:eastAsia="仿宋" w:cs="Tahoma"/>
          <w:b/>
          <w:bCs/>
          <w:color w:val="000000"/>
          <w:kern w:val="0"/>
          <w:sz w:val="28"/>
          <w:szCs w:val="28"/>
        </w:rPr>
        <w:t>免责声明</w:t>
      </w:r>
      <w:r>
        <w:rPr>
          <w:rFonts w:hint="eastAsia" w:ascii="仿宋" w:hAnsi="仿宋" w:eastAsia="仿宋" w:cs="Tahoma"/>
          <w:color w:val="000000"/>
          <w:kern w:val="0"/>
          <w:sz w:val="28"/>
          <w:szCs w:val="28"/>
        </w:rPr>
        <w:t>：本周报任何观点，皆为二师父个人投资心得及投资者交流记录，不构成投资建议。读者根据本周报及星球其他观点进行投资，须自行承担风险。</w:t>
      </w: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723D"/>
    <w:rsid w:val="000245A9"/>
    <w:rsid w:val="00076C5E"/>
    <w:rsid w:val="000A34DC"/>
    <w:rsid w:val="000F68B8"/>
    <w:rsid w:val="001F150D"/>
    <w:rsid w:val="001F2D95"/>
    <w:rsid w:val="00204BAF"/>
    <w:rsid w:val="00276016"/>
    <w:rsid w:val="002A1735"/>
    <w:rsid w:val="002F4794"/>
    <w:rsid w:val="00330C54"/>
    <w:rsid w:val="00356B4E"/>
    <w:rsid w:val="00360C07"/>
    <w:rsid w:val="00387502"/>
    <w:rsid w:val="003940F9"/>
    <w:rsid w:val="003A4551"/>
    <w:rsid w:val="003B1A42"/>
    <w:rsid w:val="003B499F"/>
    <w:rsid w:val="004100CD"/>
    <w:rsid w:val="0041357C"/>
    <w:rsid w:val="00563A6C"/>
    <w:rsid w:val="0058723D"/>
    <w:rsid w:val="005F4133"/>
    <w:rsid w:val="005F50D1"/>
    <w:rsid w:val="00616039"/>
    <w:rsid w:val="00673463"/>
    <w:rsid w:val="00706E3B"/>
    <w:rsid w:val="00734636"/>
    <w:rsid w:val="00751D5C"/>
    <w:rsid w:val="007A777F"/>
    <w:rsid w:val="0080134B"/>
    <w:rsid w:val="00807C78"/>
    <w:rsid w:val="00823AED"/>
    <w:rsid w:val="00835714"/>
    <w:rsid w:val="0088579B"/>
    <w:rsid w:val="00901803"/>
    <w:rsid w:val="00911A27"/>
    <w:rsid w:val="00942D30"/>
    <w:rsid w:val="00955B03"/>
    <w:rsid w:val="009846CE"/>
    <w:rsid w:val="009B30EB"/>
    <w:rsid w:val="00A04A0B"/>
    <w:rsid w:val="00A35603"/>
    <w:rsid w:val="00A55133"/>
    <w:rsid w:val="00A920A3"/>
    <w:rsid w:val="00AE653B"/>
    <w:rsid w:val="00B1081C"/>
    <w:rsid w:val="00B95EC8"/>
    <w:rsid w:val="00BC697D"/>
    <w:rsid w:val="00C24051"/>
    <w:rsid w:val="00C33469"/>
    <w:rsid w:val="00C70515"/>
    <w:rsid w:val="00CB1BA4"/>
    <w:rsid w:val="00CB549E"/>
    <w:rsid w:val="00CC03AB"/>
    <w:rsid w:val="00CC18EB"/>
    <w:rsid w:val="00D04D06"/>
    <w:rsid w:val="00D614C2"/>
    <w:rsid w:val="00D82B1C"/>
    <w:rsid w:val="00DC6B20"/>
    <w:rsid w:val="00E3532D"/>
    <w:rsid w:val="00E74402"/>
    <w:rsid w:val="00EA5B65"/>
    <w:rsid w:val="00EB5417"/>
    <w:rsid w:val="00F53083"/>
    <w:rsid w:val="00F900C7"/>
    <w:rsid w:val="00FA5A1D"/>
    <w:rsid w:val="00FB01FC"/>
    <w:rsid w:val="00FE081D"/>
    <w:rsid w:val="00FF2EE8"/>
    <w:rsid w:val="021F3C39"/>
    <w:rsid w:val="0723554D"/>
    <w:rsid w:val="14B54D08"/>
    <w:rsid w:val="1D063C0D"/>
    <w:rsid w:val="75184F7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qFormat/>
    <w:uiPriority w:val="99"/>
    <w:rPr>
      <w:sz w:val="18"/>
      <w:szCs w:val="18"/>
    </w:rPr>
  </w:style>
  <w:style w:type="character" w:customStyle="1" w:styleId="10">
    <w:name w:val="页脚 字符"/>
    <w:basedOn w:val="7"/>
    <w:link w:val="4"/>
    <w:uiPriority w:val="99"/>
    <w:rPr>
      <w:sz w:val="18"/>
      <w:szCs w:val="18"/>
    </w:rPr>
  </w:style>
  <w:style w:type="character" w:customStyle="1" w:styleId="11">
    <w:name w:val="apple-converted-space"/>
    <w:basedOn w:val="7"/>
    <w:qFormat/>
    <w:uiPriority w:val="0"/>
  </w:style>
  <w:style w:type="character" w:customStyle="1" w:styleId="12">
    <w:name w:val="question_text"/>
    <w:basedOn w:val="7"/>
    <w:qFormat/>
    <w:uiPriority w:val="0"/>
  </w:style>
  <w:style w:type="paragraph" w:customStyle="1" w:styleId="13">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qFormat/>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qFormat/>
    <w:uiPriority w:val="0"/>
  </w:style>
  <w:style w:type="character" w:customStyle="1" w:styleId="22">
    <w:name w:val="comment"/>
    <w:basedOn w:val="7"/>
    <w:qFormat/>
    <w:uiPriority w:val="0"/>
  </w:style>
  <w:style w:type="character" w:customStyle="1" w:styleId="23">
    <w:name w:val="te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EF5CAE-7A21-450B-A1CA-9FAA826EDF29}">
  <ds:schemaRefs/>
</ds:datastoreItem>
</file>

<file path=docProps/app.xml><?xml version="1.0" encoding="utf-8"?>
<Properties xmlns="http://schemas.openxmlformats.org/officeDocument/2006/extended-properties" xmlns:vt="http://schemas.openxmlformats.org/officeDocument/2006/docPropsVTypes">
  <Template>Normal</Template>
  <Pages>6</Pages>
  <Words>385</Words>
  <Characters>2197</Characters>
  <Lines>18</Lines>
  <Paragraphs>5</Paragraphs>
  <TotalTime>2571</TotalTime>
  <ScaleCrop>false</ScaleCrop>
  <LinksUpToDate>false</LinksUpToDate>
  <CharactersWithSpaces>2577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2020-05-09T01:30:09Z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