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原油基金，不能再碰了</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rPr>
      </w:pPr>
    </w:p>
    <w:p>
      <w:pPr>
        <w:numPr>
          <w:ilvl w:val="0"/>
          <w:numId w:val="0"/>
        </w:numPr>
        <w:jc w:val="center"/>
      </w:pPr>
      <w:r>
        <w:drawing>
          <wp:inline distT="0" distB="0" distL="114300" distR="114300">
            <wp:extent cx="3771900" cy="16306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771900" cy="1630680"/>
                    </a:xfrm>
                    <a:prstGeom prst="rect">
                      <a:avLst/>
                    </a:prstGeom>
                    <a:noFill/>
                    <a:ln>
                      <a:noFill/>
                    </a:ln>
                  </pic:spPr>
                </pic:pic>
              </a:graphicData>
            </a:graphic>
          </wp:inline>
        </w:drawing>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一起看看南方原油最近的走势。</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主要看4月24日，南方原油下跌3.1%，而当天NYMEX原油却大涨了4.12%。</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油价涨，原油基金跌，这已经开始显现出问题。</w:t>
      </w:r>
    </w:p>
    <w:p>
      <w:pPr>
        <w:numPr>
          <w:ilvl w:val="0"/>
          <w:numId w:val="0"/>
        </w:numPr>
        <w:jc w:val="both"/>
        <w:rPr>
          <w:rFonts w:hint="eastAsia" w:ascii="仿宋" w:hAnsi="仿宋" w:eastAsia="仿宋"/>
          <w:b/>
          <w:bCs/>
          <w:color w:val="000000" w:themeColor="text1"/>
          <w:sz w:val="24"/>
          <w:szCs w:val="24"/>
          <w:lang w:val="en-US" w:eastAsia="zh-CN"/>
          <w14:textFill>
            <w14:solidFill>
              <w14:schemeClr w14:val="tx1"/>
            </w14:solidFill>
          </w14:textFill>
        </w:rPr>
      </w:pPr>
    </w:p>
    <w:p>
      <w:pPr>
        <w:widowControl w:val="0"/>
        <w:numPr>
          <w:ilvl w:val="0"/>
          <w:numId w:val="0"/>
        </w:numPr>
        <w:jc w:val="both"/>
        <w:rPr>
          <w:rFonts w:hint="default"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1、为什么会出现油价涨，原油基金跌的现象</w:t>
      </w:r>
    </w:p>
    <w:p>
      <w:pPr>
        <w:widowControl w:val="0"/>
        <w:numPr>
          <w:ilvl w:val="0"/>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基金的涨跌和持仓标的是完全正相关关系，南方原油的持仓主要是USO(美国石油基金）、USL（美国12月期石油基金）。根据已经披露的基金第一季度季报，目前南方原油持有USO的比例已经超过18%。</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而USO、USL里面持有了大量美国原油近期合约，挂钩原油期货，因此期货大跌对这类基金的净值影响很大。</w:t>
      </w:r>
    </w:p>
    <w:p>
      <w:pPr>
        <w:widowControl w:val="0"/>
        <w:numPr>
          <w:ilvl w:val="0"/>
          <w:numId w:val="0"/>
        </w:numPr>
        <w:jc w:val="both"/>
        <w:rPr>
          <w:rFonts w:hint="eastAsia" w:ascii="仿宋" w:hAnsi="仿宋" w:eastAsia="仿宋"/>
          <w:b/>
          <w:bCs/>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bCs/>
          <w:color w:val="000000" w:themeColor="text1"/>
          <w:sz w:val="24"/>
          <w:szCs w:val="24"/>
          <w:lang w:val="en-US" w:eastAsia="zh-CN"/>
          <w14:textFill>
            <w14:solidFill>
              <w14:schemeClr w14:val="tx1"/>
            </w14:solidFill>
          </w14:textFill>
        </w:rPr>
      </w:pPr>
      <w:r>
        <w:rPr>
          <w:rFonts w:hint="eastAsia" w:ascii="仿宋" w:hAnsi="仿宋" w:eastAsia="仿宋"/>
          <w:b/>
          <w:bCs/>
          <w:color w:val="000000" w:themeColor="text1"/>
          <w:sz w:val="24"/>
          <w:szCs w:val="24"/>
          <w:lang w:val="en-US" w:eastAsia="zh-CN"/>
          <w14:textFill>
            <w14:solidFill>
              <w14:schemeClr w14:val="tx1"/>
            </w14:solidFill>
          </w14:textFill>
        </w:rPr>
        <w:t>原油05期货大跌的原因二师父已经在财经号分析过，主要是目前全球的封锁措施降低了原油需求，造成美国的一个小县城库欣的储油库容告急。由于能够购买并存储原油的人越来越少，目前合约流动性枯竭，在最后的交易日发生了疯狂抛售导致原油期货跌为负值。</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现在原油基金和USO、USL涨跌挂钩，需要警惕风险。</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1"/>
        </w:numPr>
        <w:jc w:val="both"/>
        <w:rPr>
          <w:rFonts w:hint="eastAsia"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超级溢价率</w:t>
      </w:r>
    </w:p>
    <w:p>
      <w:pPr>
        <w:numPr>
          <w:ilvl w:val="0"/>
          <w:numId w:val="0"/>
        </w:numPr>
        <w:jc w:val="both"/>
        <w:rPr>
          <w:rFonts w:hint="eastAsia" w:ascii="仿宋" w:hAnsi="仿宋" w:eastAsia="仿宋"/>
          <w:b w:val="0"/>
          <w:bCs w:val="0"/>
          <w:color w:val="0000FF"/>
          <w:sz w:val="24"/>
          <w:szCs w:val="24"/>
          <w:lang w:val="en-US" w:eastAsia="zh-CN"/>
        </w:rPr>
      </w:pPr>
    </w:p>
    <w:p>
      <w:pPr>
        <w:widowControl w:val="0"/>
        <w:numPr>
          <w:ilvl w:val="0"/>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截止4月24日，南方原油收盘价格是0.749元，场外净值截止到4月23日收盘净值是0.3844元，按照T-1溢价率计算方法，南方原油溢价率是94.85%。</w:t>
      </w:r>
    </w:p>
    <w:p>
      <w:pPr>
        <w:widowControl w:val="0"/>
        <w:numPr>
          <w:ilvl w:val="0"/>
          <w:numId w:val="0"/>
        </w:numPr>
        <w:ind w:leftChars="0"/>
        <w:jc w:val="both"/>
        <w:rPr>
          <w:rFonts w:hint="eastAsia" w:ascii="仿宋" w:hAnsi="仿宋" w:eastAsia="仿宋"/>
          <w:b/>
          <w:bCs/>
          <w:color w:val="0000FF"/>
          <w:sz w:val="24"/>
          <w:szCs w:val="24"/>
          <w:lang w:val="en-US" w:eastAsia="zh-CN"/>
        </w:rPr>
      </w:pPr>
    </w:p>
    <w:p>
      <w:pPr>
        <w:widowControl w:val="0"/>
        <w:numPr>
          <w:ilvl w:val="0"/>
          <w:numId w:val="0"/>
        </w:numPr>
        <w:ind w:leftChars="0"/>
        <w:jc w:val="both"/>
        <w:rPr>
          <w:rFonts w:hint="eastAsia" w:ascii="仿宋" w:hAnsi="仿宋" w:eastAsia="仿宋"/>
          <w:b/>
          <w:bCs/>
          <w:color w:val="auto"/>
          <w:sz w:val="24"/>
          <w:szCs w:val="24"/>
          <w:lang w:val="en-US" w:eastAsia="zh-CN"/>
        </w:rPr>
      </w:pPr>
      <w:r>
        <w:rPr>
          <w:rFonts w:hint="eastAsia" w:ascii="仿宋" w:hAnsi="仿宋" w:eastAsia="仿宋"/>
          <w:b/>
          <w:bCs/>
          <w:color w:val="auto"/>
          <w:sz w:val="24"/>
          <w:szCs w:val="24"/>
          <w:lang w:val="en-US" w:eastAsia="zh-CN"/>
        </w:rPr>
        <w:t>这也就意味着投资者需要以高出本身净值94.85%的的价格去购买南方原油。</w:t>
      </w:r>
    </w:p>
    <w:p>
      <w:pPr>
        <w:widowControl w:val="0"/>
        <w:numPr>
          <w:ilvl w:val="0"/>
          <w:numId w:val="0"/>
        </w:numPr>
        <w:ind w:leftChars="0"/>
        <w:jc w:val="both"/>
        <w:rPr>
          <w:rFonts w:hint="eastAsia" w:ascii="仿宋" w:hAnsi="仿宋" w:eastAsia="仿宋"/>
          <w:b w:val="0"/>
          <w:bCs w:val="0"/>
          <w:color w:val="auto"/>
          <w:sz w:val="24"/>
          <w:szCs w:val="24"/>
          <w:lang w:val="en-US" w:eastAsia="zh-CN"/>
        </w:rPr>
      </w:pPr>
    </w:p>
    <w:p>
      <w:pPr>
        <w:widowControl w:val="0"/>
        <w:numPr>
          <w:ilvl w:val="0"/>
          <w:numId w:val="0"/>
        </w:numPr>
        <w:ind w:leftChars="0"/>
        <w:jc w:val="both"/>
        <w:rPr>
          <w:rFonts w:hint="eastAsia" w:ascii="仿宋" w:hAnsi="仿宋" w:eastAsia="仿宋"/>
          <w:b w:val="0"/>
          <w:bCs w:val="0"/>
          <w:color w:val="auto"/>
          <w:sz w:val="24"/>
          <w:szCs w:val="24"/>
          <w:lang w:val="en-US" w:eastAsia="zh-CN"/>
        </w:rPr>
      </w:pPr>
      <w:r>
        <w:rPr>
          <w:rFonts w:hint="eastAsia" w:ascii="仿宋" w:hAnsi="仿宋" w:eastAsia="仿宋"/>
          <w:b w:val="0"/>
          <w:bCs w:val="0"/>
          <w:color w:val="auto"/>
          <w:sz w:val="24"/>
          <w:szCs w:val="24"/>
          <w:lang w:val="en-US" w:eastAsia="zh-CN"/>
        </w:rPr>
        <w:t>现在场外南方原油已经限购，无法再进行场外申购，只有场内能够购买。</w:t>
      </w:r>
    </w:p>
    <w:p>
      <w:pPr>
        <w:widowControl w:val="0"/>
        <w:numPr>
          <w:ilvl w:val="0"/>
          <w:numId w:val="0"/>
        </w:numPr>
        <w:ind w:leftChars="0"/>
        <w:jc w:val="both"/>
        <w:rPr>
          <w:rFonts w:hint="eastAsia" w:ascii="仿宋" w:hAnsi="仿宋" w:eastAsia="仿宋"/>
          <w:b w:val="0"/>
          <w:bCs w:val="0"/>
          <w:color w:val="auto"/>
          <w:sz w:val="24"/>
          <w:szCs w:val="24"/>
          <w:lang w:val="en-US" w:eastAsia="zh-CN"/>
        </w:rPr>
      </w:pPr>
    </w:p>
    <w:p>
      <w:pPr>
        <w:widowControl w:val="0"/>
        <w:numPr>
          <w:ilvl w:val="0"/>
          <w:numId w:val="0"/>
        </w:numPr>
        <w:ind w:leftChars="0"/>
        <w:jc w:val="both"/>
        <w:rPr>
          <w:rFonts w:hint="eastAsia" w:ascii="仿宋" w:hAnsi="仿宋" w:eastAsia="仿宋"/>
          <w:b w:val="0"/>
          <w:bCs w:val="0"/>
          <w:color w:val="auto"/>
          <w:sz w:val="24"/>
          <w:szCs w:val="24"/>
          <w:lang w:val="en-US" w:eastAsia="zh-CN"/>
        </w:rPr>
      </w:pPr>
      <w:r>
        <w:rPr>
          <w:rFonts w:hint="eastAsia" w:ascii="仿宋" w:hAnsi="仿宋" w:eastAsia="仿宋"/>
          <w:b w:val="0"/>
          <w:bCs w:val="0"/>
          <w:color w:val="auto"/>
          <w:sz w:val="24"/>
          <w:szCs w:val="24"/>
          <w:lang w:val="en-US" w:eastAsia="zh-CN"/>
        </w:rPr>
        <w:t>场内目前购买南方原油连投机价值都没有。因为如果投资者发现了巨大的溢价套利空间，将会把场外南方原油转托管到场内溢价卖出，这样就会出现砸盘，场内溢价消除，原油基金有可能进一步下跌。</w:t>
      </w:r>
    </w:p>
    <w:p>
      <w:pPr>
        <w:widowControl w:val="0"/>
        <w:numPr>
          <w:ilvl w:val="0"/>
          <w:numId w:val="0"/>
        </w:numPr>
        <w:ind w:leftChars="0"/>
        <w:jc w:val="both"/>
        <w:rPr>
          <w:rFonts w:hint="eastAsia" w:ascii="仿宋" w:hAnsi="仿宋" w:eastAsia="仿宋"/>
          <w:b w:val="0"/>
          <w:bCs w:val="0"/>
          <w:color w:val="auto"/>
          <w:sz w:val="24"/>
          <w:szCs w:val="24"/>
          <w:lang w:val="en-US" w:eastAsia="zh-CN"/>
        </w:rPr>
      </w:pPr>
    </w:p>
    <w:p>
      <w:pPr>
        <w:widowControl w:val="0"/>
        <w:numPr>
          <w:ilvl w:val="0"/>
          <w:numId w:val="0"/>
        </w:numPr>
        <w:ind w:leftChars="0"/>
        <w:jc w:val="both"/>
        <w:rPr>
          <w:rFonts w:hint="eastAsia" w:ascii="仿宋" w:hAnsi="仿宋" w:eastAsia="仿宋"/>
          <w:b/>
          <w:bCs/>
          <w:color w:val="auto"/>
          <w:sz w:val="24"/>
          <w:szCs w:val="24"/>
          <w:lang w:val="en-US" w:eastAsia="zh-CN"/>
        </w:rPr>
      </w:pPr>
      <w:r>
        <w:rPr>
          <w:rFonts w:hint="eastAsia" w:ascii="仿宋" w:hAnsi="仿宋" w:eastAsia="仿宋"/>
          <w:b/>
          <w:bCs/>
          <w:color w:val="auto"/>
          <w:sz w:val="24"/>
          <w:szCs w:val="24"/>
          <w:lang w:val="en-US" w:eastAsia="zh-CN"/>
        </w:rPr>
        <w:t>当然，有抛盘就有接盘，现在就别去当接盘侠了。溢价率近100%，可想而知有多少不明真相的群众去抄底。希望二师父的读者不要再购买南方原油，我不是害你，而是为你好。</w:t>
      </w:r>
    </w:p>
    <w:p>
      <w:pPr>
        <w:widowControl w:val="0"/>
        <w:numPr>
          <w:ilvl w:val="0"/>
          <w:numId w:val="0"/>
        </w:numPr>
        <w:ind w:leftChars="0"/>
        <w:jc w:val="both"/>
        <w:rPr>
          <w:rFonts w:hint="default" w:ascii="仿宋" w:hAnsi="仿宋" w:eastAsia="仿宋"/>
          <w:b/>
          <w:bCs/>
          <w:color w:val="auto"/>
          <w:sz w:val="24"/>
          <w:szCs w:val="24"/>
          <w:lang w:val="en-US" w:eastAsia="zh-CN"/>
        </w:rPr>
      </w:pPr>
    </w:p>
    <w:p>
      <w:pPr>
        <w:widowControl w:val="0"/>
        <w:numPr>
          <w:ilvl w:val="0"/>
          <w:numId w:val="0"/>
        </w:numPr>
        <w:ind w:leftChars="0"/>
        <w:jc w:val="both"/>
      </w:pPr>
      <w:r>
        <w:drawing>
          <wp:inline distT="0" distB="0" distL="114300" distR="114300">
            <wp:extent cx="5271135" cy="2056765"/>
            <wp:effectExtent l="0" t="0" r="190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1135" cy="205676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eastAsia"/>
          <w:lang w:val="en-US" w:eastAsia="zh-CN"/>
        </w:rPr>
        <w:t>之前讲油气不能买，有读者说我是害人，你非要购买不会有人拦着你，市场会教训你的。</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3、已经投资南方原油的朋友怎么办</w:t>
      </w:r>
    </w:p>
    <w:p>
      <w:pPr>
        <w:widowControl w:val="0"/>
        <w:numPr>
          <w:ilvl w:val="0"/>
          <w:numId w:val="0"/>
        </w:numPr>
        <w:jc w:val="both"/>
        <w:rPr>
          <w:rFonts w:hint="eastAsia" w:ascii="仿宋" w:hAnsi="仿宋" w:eastAsia="仿宋"/>
          <w:b/>
          <w:bCs/>
          <w:color w:val="0000FF"/>
          <w:sz w:val="24"/>
          <w:szCs w:val="24"/>
          <w:lang w:val="en-US" w:eastAsia="zh-CN"/>
        </w:rPr>
      </w:pPr>
    </w:p>
    <w:p>
      <w:pPr>
        <w:widowControl w:val="0"/>
        <w:numPr>
          <w:ilvl w:val="0"/>
          <w:numId w:val="0"/>
        </w:numPr>
        <w:jc w:val="both"/>
        <w:rPr>
          <w:rFonts w:hint="eastAsia" w:ascii="仿宋" w:hAnsi="仿宋" w:eastAsia="仿宋"/>
          <w:b/>
          <w:bCs/>
          <w:color w:val="000000" w:themeColor="text1"/>
          <w:sz w:val="24"/>
          <w:szCs w:val="24"/>
          <w:lang w:val="en-US" w:eastAsia="zh-CN"/>
          <w14:textFill>
            <w14:solidFill>
              <w14:schemeClr w14:val="tx1"/>
            </w14:solidFill>
          </w14:textFill>
        </w:rPr>
      </w:pPr>
      <w:r>
        <w:rPr>
          <w:rFonts w:hint="eastAsia" w:ascii="仿宋" w:hAnsi="仿宋" w:eastAsia="仿宋"/>
          <w:b/>
          <w:bCs/>
          <w:color w:val="000000" w:themeColor="text1"/>
          <w:sz w:val="24"/>
          <w:szCs w:val="24"/>
          <w:lang w:val="en-US" w:eastAsia="zh-CN"/>
          <w14:textFill>
            <w14:solidFill>
              <w14:schemeClr w14:val="tx1"/>
            </w14:solidFill>
          </w14:textFill>
        </w:rPr>
        <w:t>如果是场内购买的话，止损位设置为15%，跌破止损位清仓，如果短期反弹盈利可以卖出。不要抱有幻想，不要采取驼鸟政策，溢价100%的南方原油，一旦溢价消除，价格还会继续下跌。主要是那个事情拐点没有出现，那么原油库存就无法腾出来，原油期货还会继续在平仓或者移仓中循环。</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如果是在证券账户或者第三方代销机构申购的场外南方原油，可以选择转托管到场内，然后净值为0.3844的南方原油就可以用0.749的价格在场内卖出，这就是简单的溢价套利模型。</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bCs/>
          <w:color w:val="000000" w:themeColor="text1"/>
          <w:sz w:val="24"/>
          <w:szCs w:val="24"/>
          <w:lang w:val="en-US" w:eastAsia="zh-CN"/>
          <w14:textFill>
            <w14:solidFill>
              <w14:schemeClr w14:val="tx1"/>
            </w14:solidFill>
          </w14:textFill>
        </w:rPr>
      </w:pPr>
      <w:r>
        <w:rPr>
          <w:rFonts w:hint="eastAsia" w:ascii="仿宋" w:hAnsi="仿宋" w:eastAsia="仿宋"/>
          <w:b/>
          <w:bCs/>
          <w:color w:val="000000" w:themeColor="text1"/>
          <w:sz w:val="24"/>
          <w:szCs w:val="24"/>
          <w:lang w:val="en-US" w:eastAsia="zh-CN"/>
          <w14:textFill>
            <w14:solidFill>
              <w14:schemeClr w14:val="tx1"/>
            </w14:solidFill>
          </w14:textFill>
        </w:rPr>
        <w:t>目前可以进行转托管的机构有各大证券账户，支付宝、天天基金和且慢。记得申购的A类原油一定要转到场内卖。</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二师父以华泰证券为例子来演示如何转托管。</w:t>
      </w:r>
    </w:p>
    <w:p>
      <w:pPr>
        <w:widowControl w:val="0"/>
        <w:numPr>
          <w:ilvl w:val="0"/>
          <w:numId w:val="0"/>
        </w:numPr>
        <w:jc w:val="both"/>
        <w:rPr>
          <w:rFonts w:hint="eastAsia" w:ascii="仿宋" w:hAnsi="仿宋" w:eastAsia="仿宋"/>
          <w:b/>
          <w:bCs/>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bCs/>
          <w:color w:val="000000" w:themeColor="text1"/>
          <w:sz w:val="24"/>
          <w:szCs w:val="24"/>
          <w:lang w:val="en-US" w:eastAsia="zh-CN"/>
          <w14:textFill>
            <w14:solidFill>
              <w14:schemeClr w14:val="tx1"/>
            </w14:solidFill>
          </w14:textFill>
        </w:rPr>
      </w:pPr>
      <w:r>
        <w:rPr>
          <w:rFonts w:hint="eastAsia" w:ascii="仿宋" w:hAnsi="仿宋" w:eastAsia="仿宋"/>
          <w:b/>
          <w:bCs/>
          <w:color w:val="000000" w:themeColor="text1"/>
          <w:sz w:val="24"/>
          <w:szCs w:val="24"/>
          <w:lang w:val="en-US" w:eastAsia="zh-CN"/>
          <w14:textFill>
            <w14:solidFill>
              <w14:schemeClr w14:val="tx1"/>
            </w14:solidFill>
          </w14:textFill>
        </w:rPr>
        <w:t>第一种是在华泰场外申购的。</w:t>
      </w:r>
    </w:p>
    <w:p>
      <w:pPr>
        <w:widowControl w:val="0"/>
        <w:numPr>
          <w:ilvl w:val="0"/>
          <w:numId w:val="0"/>
        </w:numPr>
        <w:jc w:val="center"/>
        <w:rPr>
          <w:rFonts w:hint="default" w:ascii="仿宋" w:hAnsi="仿宋" w:eastAsia="仿宋"/>
          <w:b w:val="0"/>
          <w:bCs w:val="0"/>
          <w:color w:val="000000" w:themeColor="text1"/>
          <w:sz w:val="24"/>
          <w:szCs w:val="24"/>
          <w:lang w:val="en-US" w:eastAsia="zh-CN"/>
          <w14:textFill>
            <w14:solidFill>
              <w14:schemeClr w14:val="tx1"/>
            </w14:solidFill>
          </w14:textFill>
        </w:rPr>
      </w:pPr>
      <w:r>
        <w:drawing>
          <wp:inline distT="0" distB="0" distL="114300" distR="114300">
            <wp:extent cx="3048000"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048000" cy="2057400"/>
                    </a:xfrm>
                    <a:prstGeom prst="rect">
                      <a:avLst/>
                    </a:prstGeom>
                    <a:noFill/>
                    <a:ln>
                      <a:noFill/>
                    </a:ln>
                  </pic:spPr>
                </pic:pic>
              </a:graphicData>
            </a:graphic>
          </wp:inline>
        </w:drawing>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在华泰场内申购是以净值成交，然后直接转到场内。</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而在华泰场外申购则是以净值成交，不直接转到场内。如果投资者在基金有溢价的时候，想要转托管到场内，直接点击已经申购的基金，再点转场内就可以完成转托管操作了。</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bCs/>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bCs/>
          <w:color w:val="000000" w:themeColor="text1"/>
          <w:sz w:val="24"/>
          <w:szCs w:val="24"/>
          <w:lang w:val="en-US" w:eastAsia="zh-CN"/>
          <w14:textFill>
            <w14:solidFill>
              <w14:schemeClr w14:val="tx1"/>
            </w14:solidFill>
          </w14:textFill>
        </w:rPr>
      </w:pPr>
      <w:r>
        <w:rPr>
          <w:rFonts w:hint="eastAsia" w:ascii="仿宋" w:hAnsi="仿宋" w:eastAsia="仿宋"/>
          <w:b/>
          <w:bCs/>
          <w:color w:val="000000" w:themeColor="text1"/>
          <w:sz w:val="24"/>
          <w:szCs w:val="24"/>
          <w:lang w:val="en-US" w:eastAsia="zh-CN"/>
          <w14:textFill>
            <w14:solidFill>
              <w14:schemeClr w14:val="tx1"/>
            </w14:solidFill>
          </w14:textFill>
        </w:rPr>
        <w:t>第二种是在支付宝场外申购的。</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center"/>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drawing>
          <wp:inline distT="0" distB="0" distL="114300" distR="114300">
            <wp:extent cx="3025140" cy="276606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025140" cy="2766060"/>
                    </a:xfrm>
                    <a:prstGeom prst="rect">
                      <a:avLst/>
                    </a:prstGeom>
                    <a:noFill/>
                    <a:ln>
                      <a:noFill/>
                    </a:ln>
                  </pic:spPr>
                </pic:pic>
              </a:graphicData>
            </a:graphic>
          </wp:inline>
        </w:drawing>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跟着二师父做鳄鱼计划的朋友都开了场内证券账户,大家直接在股票账户进行场内外关系建立操作，现在以华泰证券演示下如何完成支付宝等第三方代销机构的转托管操作。</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在涨乐财富通找到“办业务”，然后点击如上图所示的“场内外关系建立”。</w:t>
      </w:r>
    </w:p>
    <w:p>
      <w:pPr>
        <w:widowControl w:val="0"/>
        <w:numPr>
          <w:ilvl w:val="0"/>
          <w:numId w:val="0"/>
        </w:numPr>
        <w:jc w:val="left"/>
        <w:rPr>
          <w:rFonts w:hint="eastAsia"/>
          <w:lang w:val="en-US" w:eastAsia="zh-CN"/>
        </w:rPr>
      </w:pPr>
    </w:p>
    <w:p>
      <w:pPr>
        <w:widowControl w:val="0"/>
        <w:numPr>
          <w:ilvl w:val="0"/>
          <w:numId w:val="0"/>
        </w:numPr>
        <w:jc w:val="left"/>
        <w:rPr>
          <w:rFonts w:hint="eastAsia"/>
          <w:b/>
          <w:bCs/>
          <w:lang w:val="en-US" w:eastAsia="zh-CN"/>
        </w:rPr>
      </w:pPr>
      <w:r>
        <w:rPr>
          <w:rFonts w:hint="eastAsia"/>
          <w:b/>
          <w:bCs/>
          <w:lang w:val="en-US" w:eastAsia="zh-CN"/>
        </w:rPr>
        <w:t>然后联系支付宝的客服，咨询转托管事宜：你把自己所用的证券账户名称，券商席位号、南方原油的代码以及当前份额告诉客服。</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这时候客服就会帮你处理，一般两到三个工作日场外份额就会转托管到场内账户。</w:t>
      </w:r>
    </w:p>
    <w:p>
      <w:pPr>
        <w:widowControl w:val="0"/>
        <w:numPr>
          <w:ilvl w:val="0"/>
          <w:numId w:val="0"/>
        </w:numPr>
        <w:jc w:val="left"/>
        <w:rPr>
          <w:rFonts w:hint="eastAsia"/>
          <w:lang w:val="en-US" w:eastAsia="zh-CN"/>
        </w:rPr>
      </w:pPr>
    </w:p>
    <w:p>
      <w:pPr>
        <w:widowControl w:val="0"/>
        <w:numPr>
          <w:ilvl w:val="0"/>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当场外份额转托管到场内账户就可以在证券账户直接委托卖出了。</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r>
        <w:rPr>
          <w:rFonts w:hint="eastAsia" w:ascii="仿宋" w:hAnsi="仿宋" w:eastAsia="仿宋"/>
          <w:b w:val="0"/>
          <w:bCs w:val="0"/>
          <w:color w:val="000000" w:themeColor="text1"/>
          <w:sz w:val="24"/>
          <w:szCs w:val="24"/>
          <w:lang w:val="en-US" w:eastAsia="zh-CN"/>
          <w14:textFill>
            <w14:solidFill>
              <w14:schemeClr w14:val="tx1"/>
            </w14:solidFill>
          </w14:textFill>
        </w:rPr>
        <w:t>不管是投资还是生活，都要有积极的心态应对，千万不要抱有基金不会亏完就去装死的驼鸟心态。只有主动去面对投资中的盈亏并做好相应的措施，才会游刃有余。积极主动才会有好结果。中行如果这次反应快点，也不至于投资者背这么大的锅。</w:t>
      </w:r>
    </w:p>
    <w:p>
      <w:pPr>
        <w:widowControl w:val="0"/>
        <w:numPr>
          <w:ilvl w:val="0"/>
          <w:numId w:val="0"/>
        </w:numPr>
        <w:jc w:val="both"/>
        <w:rPr>
          <w:rFonts w:hint="eastAsia"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default" w:ascii="仿宋" w:hAnsi="仿宋" w:eastAsia="仿宋"/>
          <w:b/>
          <w:bCs/>
          <w:color w:val="000000" w:themeColor="text1"/>
          <w:sz w:val="24"/>
          <w:szCs w:val="24"/>
          <w:lang w:val="en-US" w:eastAsia="zh-CN"/>
          <w14:textFill>
            <w14:solidFill>
              <w14:schemeClr w14:val="tx1"/>
            </w14:solidFill>
          </w14:textFill>
        </w:rPr>
      </w:pPr>
      <w:r>
        <w:rPr>
          <w:rFonts w:hint="eastAsia" w:ascii="仿宋" w:hAnsi="仿宋" w:eastAsia="仿宋"/>
          <w:b/>
          <w:bCs/>
          <w:color w:val="000000" w:themeColor="text1"/>
          <w:sz w:val="24"/>
          <w:szCs w:val="24"/>
          <w:lang w:val="en-US" w:eastAsia="zh-CN"/>
          <w14:textFill>
            <w14:solidFill>
              <w14:schemeClr w14:val="tx1"/>
            </w14:solidFill>
          </w14:textFill>
        </w:rPr>
        <w:t>已经持有原油的尽快行动，没有购买原油的在场外放开限购之前就不要去当接盘侠了，我不是害你，而是为你好，当你投资本金没了的时候你就知道谁害你了。</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BD59A3"/>
    <w:multiLevelType w:val="singleLevel"/>
    <w:tmpl w:val="FFBD59A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80B0B"/>
    <w:rsid w:val="00C831B4"/>
    <w:rsid w:val="00C91E73"/>
    <w:rsid w:val="00CA0F6A"/>
    <w:rsid w:val="00CA4A1F"/>
    <w:rsid w:val="00CB5E91"/>
    <w:rsid w:val="00CB5F45"/>
    <w:rsid w:val="00CD12BB"/>
    <w:rsid w:val="00CF5F87"/>
    <w:rsid w:val="00D12F00"/>
    <w:rsid w:val="00D14CD0"/>
    <w:rsid w:val="00D21C85"/>
    <w:rsid w:val="00D22D42"/>
    <w:rsid w:val="00D23D5F"/>
    <w:rsid w:val="00D2525B"/>
    <w:rsid w:val="00D3146C"/>
    <w:rsid w:val="00D42E05"/>
    <w:rsid w:val="00D569C3"/>
    <w:rsid w:val="00D57924"/>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 w:val="01A9085D"/>
    <w:rsid w:val="03D20F1C"/>
    <w:rsid w:val="050B05EE"/>
    <w:rsid w:val="06DE69FD"/>
    <w:rsid w:val="0A2433EB"/>
    <w:rsid w:val="0B4D50F4"/>
    <w:rsid w:val="127B6F55"/>
    <w:rsid w:val="16735DE6"/>
    <w:rsid w:val="1BA67309"/>
    <w:rsid w:val="21102ED8"/>
    <w:rsid w:val="23BF2345"/>
    <w:rsid w:val="23F9384E"/>
    <w:rsid w:val="258B6BAF"/>
    <w:rsid w:val="27E56093"/>
    <w:rsid w:val="27FA44DD"/>
    <w:rsid w:val="285113D3"/>
    <w:rsid w:val="2BC841ED"/>
    <w:rsid w:val="2E8A5566"/>
    <w:rsid w:val="313010B1"/>
    <w:rsid w:val="3203164E"/>
    <w:rsid w:val="324815D8"/>
    <w:rsid w:val="32984AAC"/>
    <w:rsid w:val="37AE1B1D"/>
    <w:rsid w:val="3AB466C9"/>
    <w:rsid w:val="3ADB16FE"/>
    <w:rsid w:val="3BC6515E"/>
    <w:rsid w:val="453C68FA"/>
    <w:rsid w:val="476928AC"/>
    <w:rsid w:val="478E1C2A"/>
    <w:rsid w:val="483950BB"/>
    <w:rsid w:val="4B9D5619"/>
    <w:rsid w:val="4F0D709C"/>
    <w:rsid w:val="4FC075C6"/>
    <w:rsid w:val="50850966"/>
    <w:rsid w:val="51FB4D11"/>
    <w:rsid w:val="52875F5D"/>
    <w:rsid w:val="5D45152F"/>
    <w:rsid w:val="5DCA6590"/>
    <w:rsid w:val="5F580630"/>
    <w:rsid w:val="60B0427A"/>
    <w:rsid w:val="6E7D1EAC"/>
    <w:rsid w:val="746D2EBF"/>
    <w:rsid w:val="76C66C31"/>
    <w:rsid w:val="7C044BD0"/>
    <w:rsid w:val="7C3E6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366</TotalTime>
  <ScaleCrop>false</ScaleCrop>
  <LinksUpToDate>false</LinksUpToDate>
  <CharactersWithSpaces>1425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2020-04-26T02:33:07Z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