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w:t>
      </w:r>
      <w:r>
        <w:rPr>
          <w:rFonts w:ascii="Tahoma" w:hAnsi="Tahoma" w:eastAsia="宋体" w:cs="Tahoma"/>
          <w:b/>
          <w:color w:val="000000"/>
          <w:kern w:val="0"/>
          <w:sz w:val="48"/>
          <w:szCs w:val="48"/>
        </w:rPr>
        <w:t>62</w:t>
      </w:r>
      <w:r>
        <w:rPr>
          <w:rFonts w:hint="eastAsia" w:ascii="Tahoma" w:hAnsi="Tahoma" w:eastAsia="宋体" w:cs="Tahoma"/>
          <w:b/>
          <w:color w:val="000000"/>
          <w:kern w:val="0"/>
          <w:sz w:val="48"/>
          <w:szCs w:val="48"/>
        </w:rPr>
        <w:t>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6</w:t>
      </w:r>
      <w:r>
        <w:rPr>
          <w:rFonts w:hint="eastAsia" w:ascii="Tahoma" w:hAnsi="Tahoma" w:eastAsia="宋体" w:cs="Tahoma"/>
          <w:b/>
          <w:color w:val="000000"/>
          <w:kern w:val="0"/>
          <w:sz w:val="24"/>
          <w:szCs w:val="24"/>
        </w:rPr>
        <w:t>.</w:t>
      </w:r>
      <w:r>
        <w:rPr>
          <w:rFonts w:ascii="Tahoma" w:hAnsi="Tahoma" w:eastAsia="宋体" w:cs="Tahoma"/>
          <w:b/>
          <w:color w:val="000000"/>
          <w:kern w:val="0"/>
          <w:sz w:val="24"/>
          <w:szCs w:val="24"/>
        </w:rPr>
        <w:t>6</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fldChar w:fldCharType="begin"/>
      </w:r>
      <w:r>
        <w:instrText xml:space="preserve"> HYPERLINK "mailto:ershifu1993@126.com" </w:instrText>
      </w:r>
      <w: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267325" cy="1878330"/>
            <wp:effectExtent l="0" t="0" r="5715" b="1143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7"/>
                    <a:stretch>
                      <a:fillRect/>
                    </a:stretch>
                  </pic:blipFill>
                  <pic:spPr>
                    <a:xfrm>
                      <a:off x="0" y="0"/>
                      <a:ext cx="5267325" cy="1878330"/>
                    </a:xfrm>
                    <a:prstGeom prst="rect">
                      <a:avLst/>
                    </a:prstGeom>
                  </pic:spPr>
                </pic:pic>
              </a:graphicData>
            </a:graphic>
          </wp:inline>
        </w:drawing>
      </w:r>
    </w:p>
    <w:p>
      <w:pPr>
        <w:widowControl/>
        <w:shd w:val="clear" w:color="auto" w:fill="FFFFFF"/>
        <w:spacing w:line="315" w:lineRule="atLeast"/>
        <w:ind w:left="140" w:right="225" w:rightChars="107"/>
        <w:jc w:val="left"/>
        <w:rPr>
          <w:rFonts w:ascii="楷体" w:hAnsi="楷体" w:eastAsia="楷体"/>
          <w:b/>
          <w:bCs/>
          <w:sz w:val="24"/>
          <w:szCs w:val="24"/>
        </w:rPr>
      </w:pPr>
    </w:p>
    <w:p>
      <w:pPr>
        <w:widowControl/>
        <w:shd w:val="clear" w:color="auto" w:fill="FFFFFF"/>
        <w:spacing w:line="315" w:lineRule="atLeast"/>
        <w:jc w:val="left"/>
        <w:rPr>
          <w:rFonts w:hint="eastAsia"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周一跳空高开，这种时候就不要追了。</w:t>
      </w:r>
    </w:p>
    <w:p>
      <w:pPr>
        <w:widowControl/>
        <w:shd w:val="clear" w:color="auto" w:fill="FFFFFF"/>
        <w:spacing w:line="315" w:lineRule="atLeast"/>
        <w:jc w:val="left"/>
        <w:rPr>
          <w:rFonts w:hint="eastAsia" w:ascii="楷体" w:hAnsi="楷体" w:eastAsia="楷体"/>
          <w:b/>
          <w:bCs/>
          <w:color w:val="FF0000"/>
          <w:sz w:val="24"/>
          <w:szCs w:val="24"/>
          <w:lang w:val="en-US" w:eastAsia="zh-CN"/>
        </w:rPr>
      </w:pPr>
    </w:p>
    <w:p>
      <w:pPr>
        <w:widowControl/>
        <w:shd w:val="clear" w:color="auto" w:fill="FFFFFF"/>
        <w:spacing w:line="315" w:lineRule="atLeast"/>
        <w:jc w:val="left"/>
        <w:rPr>
          <w:rFonts w:hint="eastAsia"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本周情绪比较高，周五逐渐缩量上涨，情绪低迷，这种时候还是会回调踩前期支撑位。拿住手里的基金就好了，按照A股的牛熊规律，最近一两年就是牛市。</w:t>
      </w:r>
    </w:p>
    <w:p>
      <w:pPr>
        <w:widowControl/>
        <w:shd w:val="clear" w:color="auto" w:fill="FFFFFF"/>
        <w:spacing w:line="315" w:lineRule="atLeast"/>
        <w:jc w:val="left"/>
        <w:rPr>
          <w:rFonts w:hint="eastAsia" w:ascii="楷体" w:hAnsi="楷体" w:eastAsia="楷体"/>
          <w:b/>
          <w:bCs/>
          <w:color w:val="FF0000"/>
          <w:sz w:val="24"/>
          <w:szCs w:val="24"/>
          <w:lang w:val="en-US" w:eastAsia="zh-CN"/>
        </w:rPr>
      </w:pPr>
    </w:p>
    <w:p>
      <w:pPr>
        <w:widowControl/>
        <w:shd w:val="clear" w:color="auto" w:fill="FFFFFF"/>
        <w:spacing w:line="315" w:lineRule="atLeast"/>
        <w:jc w:val="left"/>
        <w:rPr>
          <w:rFonts w:hint="default"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而对于白酒、医疗已经处于牛市下半场了，就看银行、保险、地产何时表演，一个都不会缺席的。</w:t>
      </w:r>
      <w:bookmarkStart w:id="0" w:name="_GoBack"/>
      <w:bookmarkEnd w:id="0"/>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center"/>
        <w:rPr>
          <w:rFonts w:ascii="楷体" w:hAnsi="楷体" w:eastAsia="楷体"/>
          <w:b/>
          <w:bCs/>
          <w:color w:val="FF0000"/>
          <w:sz w:val="24"/>
          <w:szCs w:val="24"/>
        </w:rPr>
      </w:pPr>
    </w:p>
    <w:p>
      <w:pPr>
        <w:widowControl/>
        <w:shd w:val="clear" w:color="auto" w:fill="FFFFFF"/>
        <w:spacing w:line="315" w:lineRule="atLeast"/>
        <w:jc w:val="center"/>
        <w:rPr>
          <w:rFonts w:ascii="Tahoma" w:hAnsi="Tahoma" w:eastAsia="宋体" w:cs="Tahoma"/>
          <w:b/>
          <w:color w:val="2E74B5"/>
          <w:kern w:val="0"/>
          <w:sz w:val="44"/>
          <w:szCs w:val="44"/>
        </w:rPr>
      </w:pPr>
      <w:r>
        <w:rPr>
          <w:rFonts w:hint="eastAsia" w:ascii="Tahoma" w:hAnsi="Tahoma" w:eastAsia="宋体" w:cs="Tahoma"/>
          <w:b/>
          <w:color w:val="2E74B5"/>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不知道不明了 提问：二师父，白酒已经收割过20%的利润了，目前刚刚过高估，请问按照五步法，以步入高估时的价格为基础，上涨10%卖掉总仓位的20%这样后续操作可以吗，或者还有更好的选择</w:t>
      </w:r>
    </w:p>
    <w:p>
      <w:pPr>
        <w:widowControl/>
        <w:shd w:val="clear" w:color="auto" w:fill="FFFFFF"/>
        <w:spacing w:line="315" w:lineRule="atLeast"/>
        <w:jc w:val="left"/>
        <w:rPr>
          <w:rFonts w:ascii="楷体" w:hAnsi="楷体" w:eastAsia="楷体"/>
          <w:b/>
          <w:color w:val="4472C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可以的，分步止盈，如果能接受回撤，中长期持有也可以</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信阳田平 提问：二师父，现在券商基金一直处于低估状态。现在普遍的说法是券商先于牛市启动，并且涨幅也比较大。如果现在有不用的资金，一次性或分几次低吸买入券商基金，并一直持有至牛市（未来3—5年）。是否可行？</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不要听大多数人的，如果大多数人都在做一件事，那么这项投资要么赚不到钱，要么亏钱。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券商不会先于牛市启动，而是和牛市同步，现在券商主要还是开户佣金，牛市来了，交易量大开户量大，利好券商，容易拉升。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你这个方法可行，但是长期投资不要去赌券商，这个周期指数，成长性一般，配置上我觉得10%就是上限仓位，你要考虑风险，这轮熊市白酒医药科技都涨了很多，而券商一直波动波动，牛市来了他也是冲上下然后下来波动，你要考虑牛市不来怎么赚钱。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如果等牛市，我从17年都听牛市来，按照这个思路去做就亏得很惨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牛市来了什么都会涨，银行涨得比券商还多，有色、传媒、环保这些垃圾都会涨，要从企业经营的角度投资，而不要寄托于大家疯狂的推高估值，这种思维还是投机思维，主要投资赚的企业成长的钱。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所以建议券商10%以内仓位，低吸，现在投都没问题。然后网格，不要一直持有不动</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陈伟 提问：二师父，场外的006327和164906还可以继续定投吗？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目前这个位置轻仓定投可以的，最好的安全边际是等到低估，中概互联价格到1.4元以下比较安全，定投目前是可以的，建立底仓就不合适。</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C&amp;S 提问：请教，968010 摩根太平洋证券人民币累计，这类香港互认基金，投资收益前景如何？有什么风险？与中美股市相关性大不大？如果想配置印度，越南，日本韩国等国家的指数基金，此基金能否取代？谢谢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这个基金还不错，目前持仓分别是腾讯，台湾半导体公司、阿里巴巴、香港的友邦、日本的凯恩斯公司、印度的银行。印度7%，日本33%，韩国6%。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收益可以有个平均收益，各国股票一起投资的话，可以避免非系统风险，净值会稳步增长，而对于日本这种国家，经济一直较差，股市增幅低容易拉低整体收益。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与中国股市有较大关系，里面有很多中国企业，这个基金适合想配置印度、韩国股票的，不过无法替代，因为持仓比较少。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日本有个基金，日经225可以关注下。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这个基金的风险在于主动基金会自行调仓，不确定未来会怎么调整。如果一直按照这种策略，是可以稳步增长的。</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不再YY的猪 提问：请问二师</w:t>
      </w:r>
      <w:r>
        <w:rPr>
          <w:rFonts w:hint="eastAsia" w:ascii="楷体" w:hAnsi="楷体" w:eastAsia="楷体"/>
          <w:b/>
          <w:color w:val="4472C4"/>
          <w:kern w:val="0"/>
          <w:sz w:val="24"/>
          <w:szCs w:val="24"/>
        </w:rPr>
        <w:t>父</w:t>
      </w:r>
      <w:r>
        <w:rPr>
          <w:rFonts w:ascii="楷体" w:hAnsi="楷体" w:eastAsia="楷体"/>
          <w:b/>
          <w:color w:val="4472C4"/>
          <w:kern w:val="0"/>
          <w:sz w:val="24"/>
          <w:szCs w:val="24"/>
        </w:rPr>
        <w:t>怎么看待沪深300指数调仓？</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指数每年都会有一次或者二次的调仓，会将不符合选股规则的股票调出去，然后纳入新的股票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一般调仓对指数的盈利和估值有一定影响，对投资没有太大影响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可以关注下上证指数的调仓，这个不是每年都有的，如果调整后上证指数走高，会提振市场信心</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凝</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慧</w:t>
      </w:r>
      <w:r>
        <w:rPr>
          <w:rFonts w:ascii="Segoe UI Emoji" w:hAnsi="Segoe UI Emoji" w:eastAsia="楷体" w:cs="Segoe UI Emoji"/>
          <w:b/>
          <w:color w:val="4472C4"/>
          <w:kern w:val="0"/>
          <w:sz w:val="24"/>
          <w:szCs w:val="24"/>
        </w:rPr>
        <w:t>🍀</w:t>
      </w:r>
      <w:r>
        <w:rPr>
          <w:rFonts w:ascii="楷体" w:hAnsi="楷体" w:eastAsia="楷体"/>
          <w:b/>
          <w:color w:val="4472C4"/>
          <w:kern w:val="0"/>
          <w:sz w:val="24"/>
          <w:szCs w:val="24"/>
        </w:rPr>
        <w:t xml:space="preserve"> 提问：师父好，今天有一只可转债，可以申购吗？</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可以的，可转债申购了基本都可以盈利，有市值股票打新也可以做</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老妖 提问：师父，消费和医疗是不是高估了？</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消费还没有高估，医疗是高估了，一般投资情绪如钟摆容易过度摆动，现在医疗就是摆动过度，如果行业没有到达衰退期，其实每隔几年就会均值回归。</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jier 提问：二师父，请问开通科创板，如果有几个证券账户的话，是不是累计金额达到50万就可以？账户里的金额可以是股票，也可以是基金或现金形式持有都算？您觉得开通科创板有风险吗？谢谢</w:t>
      </w:r>
    </w:p>
    <w:p>
      <w:pPr>
        <w:widowControl/>
        <w:shd w:val="clear" w:color="auto" w:fill="FFFFFF"/>
        <w:spacing w:line="315" w:lineRule="atLeast"/>
        <w:jc w:val="left"/>
        <w:rPr>
          <w:rFonts w:hint="eastAsia" w:ascii="inherit" w:hAnsi="inherit" w:eastAsia="宋体" w:cs="Tahoma"/>
          <w:color w:val="2F3034"/>
          <w:kern w:val="0"/>
          <w:szCs w:val="21"/>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不能累计，账户50万资产，现金或者股票，满二年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开通科创板没有风险，购买科创板股票风险还是很大的</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六尘不改 提问：这几天券商启动，是不是要来行情了？</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目前已经切换到金融蓝筹股了，如果这些集体拉升大牛就会来，看市场反应，目前信用宽松，流动性充裕，股市不涨不是正常现象，唯一的不确定性因素在美国</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孟倩 提问：二师父，请问有针对十几岁青少年的保险吗？意外重疾之类的，有好的推荐吗？ 谢谢！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重疾险——妈咪保贝，意外险——平安少儿综合意外险。重疾+意外足够了。意外险不仅保意外医疗，还可以保意外身残等，其他的基本上可以不用。</w:t>
      </w:r>
    </w:p>
    <w:p>
      <w:pPr>
        <w:widowControl/>
        <w:spacing w:line="400" w:lineRule="exact"/>
        <w:jc w:val="left"/>
        <w:rPr>
          <w:rFonts w:ascii="楷体" w:hAnsi="楷体" w:eastAsia="楷体"/>
          <w:sz w:val="24"/>
          <w:szCs w:val="24"/>
        </w:rPr>
      </w:pPr>
    </w:p>
    <w:p>
      <w:pPr>
        <w:widowControl/>
        <w:shd w:val="clear" w:color="auto" w:fill="FFFFFF"/>
        <w:jc w:val="left"/>
        <w:rPr>
          <w:rFonts w:ascii="楷体" w:hAnsi="楷体" w:eastAsia="楷体"/>
          <w:b/>
          <w:color w:val="4472C4"/>
          <w:kern w:val="0"/>
          <w:sz w:val="24"/>
          <w:szCs w:val="24"/>
        </w:rPr>
      </w:pPr>
      <w:r>
        <w:rPr>
          <w:rFonts w:ascii="楷体" w:hAnsi="楷体" w:eastAsia="楷体"/>
          <w:b/>
          <w:color w:val="4472C4"/>
          <w:kern w:val="0"/>
          <w:sz w:val="24"/>
          <w:szCs w:val="24"/>
        </w:rPr>
        <w:t>是喵喵吖～ 提问：二师父您好，我昨天刚申请了华宝智投 想以后在这上边买卖券商这些网格交易，我试着操作了一下。我扫描您发的券商的二维码 然后它自动会有这些价格啊 金额啥的。以券商为例，这个0.9的价格我不太明白呢 ，他代表着什么来着 。我是不是不用动 。然后金额的话 我可以根据自己的情况是吧 最小底仓可以是10000吗 然后每笔委托4000的话，意思就是：每次下跌3%就买入4000块钱对吗。谢谢！！</w:t>
      </w:r>
    </w:p>
    <w:p>
      <w:pPr>
        <w:widowControl/>
        <w:spacing w:line="400" w:lineRule="exact"/>
        <w:jc w:val="left"/>
        <w:rPr>
          <w:rFonts w:ascii="楷体" w:hAnsi="楷体" w:eastAsia="楷体"/>
          <w:b/>
          <w:color w:val="4472C4"/>
          <w:kern w:val="0"/>
          <w:sz w:val="24"/>
          <w:szCs w:val="24"/>
        </w:rPr>
      </w:pPr>
    </w:p>
    <w:p>
      <w:pPr>
        <w:widowControl/>
        <w:spacing w:line="400" w:lineRule="exact"/>
        <w:jc w:val="left"/>
        <w:rPr>
          <w:rFonts w:ascii="楷体" w:hAnsi="楷体" w:eastAsia="楷体"/>
          <w:sz w:val="24"/>
          <w:szCs w:val="24"/>
        </w:rPr>
      </w:pPr>
      <w:r>
        <w:rPr>
          <w:rFonts w:ascii="楷体" w:hAnsi="楷体" w:eastAsia="楷体"/>
          <w:sz w:val="24"/>
          <w:szCs w:val="24"/>
        </w:rPr>
        <w:t xml:space="preserve">是的，0.9是底仓买入价格，触发这个价格可以买入，底仓根据资金量来，准备6，7份4000元就行，如果加完了还没到底锁仓可以的 </w:t>
      </w:r>
    </w:p>
    <w:p>
      <w:pPr>
        <w:widowControl/>
        <w:spacing w:line="400" w:lineRule="exact"/>
        <w:jc w:val="left"/>
        <w:rPr>
          <w:rFonts w:ascii="楷体" w:hAnsi="楷体" w:eastAsia="楷体"/>
          <w:sz w:val="24"/>
          <w:szCs w:val="24"/>
        </w:rPr>
      </w:pPr>
    </w:p>
    <w:p>
      <w:pPr>
        <w:widowControl/>
        <w:spacing w:line="400" w:lineRule="exact"/>
        <w:jc w:val="left"/>
        <w:rPr>
          <w:rFonts w:ascii="楷体" w:hAnsi="楷体" w:eastAsia="楷体"/>
          <w:sz w:val="24"/>
          <w:szCs w:val="24"/>
        </w:rPr>
      </w:pPr>
      <w:r>
        <w:rPr>
          <w:rFonts w:ascii="楷体" w:hAnsi="楷体" w:eastAsia="楷体"/>
          <w:sz w:val="24"/>
          <w:szCs w:val="24"/>
        </w:rPr>
        <w:t>网格少部分资金参与就行，行情震荡要么一直持有，要么小资金网格</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不知道不明了 提问：二师父，请问现在人工智能和科技100还适合定投么，上次鳄鱼计划后又加仓了两份</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目前多少仓位，等回调入好一些，人工智能价格1.3以下，科技100再回调5个点左右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当然，我不确定是否一定回调，从安全角度考虑，科技类指数波动大，要保证回撤小</w:t>
      </w:r>
    </w:p>
    <w:p>
      <w:pPr>
        <w:widowControl/>
        <w:spacing w:line="400" w:lineRule="exact"/>
        <w:jc w:val="left"/>
        <w:rPr>
          <w:rFonts w:ascii="楷体" w:hAnsi="楷体" w:eastAsia="楷体"/>
          <w:sz w:val="24"/>
          <w:szCs w:val="24"/>
        </w:rPr>
      </w:pPr>
    </w:p>
    <w:p>
      <w:pPr>
        <w:widowControl/>
        <w:shd w:val="clear" w:color="auto" w:fill="FFFFFF"/>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Jarvis Liu 提问：二师父，有个问题咨询下您，在学习基金投资课程的时候，我一般看恒生指数市盈率的变动，来判断恒生ETF（159920）的变化情况，如果是观察酒ETF（512690）和证券ETF（512000），我应该观察哪个指数的变化情况呢？</w:t>
      </w:r>
    </w:p>
    <w:p>
      <w:pPr>
        <w:widowControl/>
        <w:shd w:val="clear" w:color="auto" w:fill="FFFFFF"/>
        <w:spacing w:line="315" w:lineRule="atLeast"/>
        <w:jc w:val="left"/>
        <w:rPr>
          <w:rFonts w:ascii="Tahoma" w:hAnsi="Tahoma" w:eastAsia="宋体" w:cs="Tahoma"/>
          <w:color w:val="2F3034"/>
          <w:kern w:val="0"/>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 xml:space="preserve">恒生指数属于价值类基金，市盈率和市净率都是可以参考的估值指标。酒ETF既可以看市盈率和市净率。 </w:t>
      </w:r>
    </w:p>
    <w:p>
      <w:pPr>
        <w:widowControl/>
        <w:shd w:val="clear" w:color="auto" w:fill="FFFFFF"/>
        <w:spacing w:line="315" w:lineRule="atLeast"/>
        <w:jc w:val="left"/>
        <w:rPr>
          <w:rFonts w:ascii="楷体" w:hAnsi="楷体" w:eastAsia="楷体"/>
          <w:sz w:val="24"/>
          <w:szCs w:val="24"/>
        </w:rPr>
      </w:pPr>
    </w:p>
    <w:p>
      <w:pPr>
        <w:widowControl/>
        <w:shd w:val="clear" w:color="auto" w:fill="FFFFFF"/>
        <w:spacing w:line="315" w:lineRule="atLeast"/>
        <w:jc w:val="left"/>
        <w:rPr>
          <w:rFonts w:ascii="楷体" w:hAnsi="楷体" w:eastAsia="楷体"/>
          <w:sz w:val="24"/>
          <w:szCs w:val="24"/>
        </w:rPr>
      </w:pPr>
      <w:r>
        <w:rPr>
          <w:rFonts w:ascii="楷体" w:hAnsi="楷体" w:eastAsia="楷体"/>
          <w:sz w:val="24"/>
          <w:szCs w:val="24"/>
        </w:rPr>
        <w:t>证券ETF是因为盈利变动很大，市盈率失效，只能看市净率。</w:t>
      </w:r>
    </w:p>
    <w:p>
      <w:pPr>
        <w:widowControl/>
        <w:spacing w:line="400" w:lineRule="exact"/>
        <w:jc w:val="left"/>
        <w:rPr>
          <w:rFonts w:ascii="楷体" w:hAnsi="楷体" w:eastAsia="楷体"/>
          <w:sz w:val="24"/>
          <w:szCs w:val="24"/>
        </w:rPr>
      </w:pPr>
    </w:p>
    <w:p>
      <w:pPr>
        <w:widowControl/>
        <w:jc w:val="left"/>
        <w:rPr>
          <w:rFonts w:ascii="楷体" w:hAnsi="楷体" w:eastAsia="楷体"/>
          <w:sz w:val="24"/>
          <w:szCs w:val="24"/>
        </w:rPr>
      </w:pPr>
    </w:p>
    <w:p>
      <w:pPr>
        <w:widowControl/>
        <w:jc w:val="left"/>
        <w:rPr>
          <w:rFonts w:ascii="楷体" w:hAnsi="楷体" w:eastAsia="楷体"/>
          <w:sz w:val="24"/>
          <w:szCs w:val="24"/>
        </w:rPr>
      </w:pPr>
    </w:p>
    <w:p>
      <w:pPr>
        <w:widowControl/>
        <w:jc w:val="left"/>
        <w:rPr>
          <w:rFonts w:ascii="楷体" w:hAnsi="楷体" w:eastAsia="楷体"/>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免责声明：本周报任何观点，皆为二师父个人投资心得及投资者交流记录，不构成投资建议。读者根据本周报及星球其他观点进行投资，须自行承担风险。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Segoe UI Emoji">
    <w:panose1 w:val="020B0502040204020203"/>
    <w:charset w:val="00"/>
    <w:family w:val="swiss"/>
    <w:pitch w:val="default"/>
    <w:sig w:usb0="00000001" w:usb1="02000000" w:usb2="00000000" w:usb3="00000000" w:csb0="00000001" w:csb1="00000000"/>
  </w:font>
  <w:font w:name="inherit">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245A9"/>
    <w:rsid w:val="00076C5E"/>
    <w:rsid w:val="000A34DC"/>
    <w:rsid w:val="000F68B8"/>
    <w:rsid w:val="001B05D2"/>
    <w:rsid w:val="001F150D"/>
    <w:rsid w:val="001F2D95"/>
    <w:rsid w:val="00204BAF"/>
    <w:rsid w:val="00276016"/>
    <w:rsid w:val="00284F71"/>
    <w:rsid w:val="002A1735"/>
    <w:rsid w:val="002F4794"/>
    <w:rsid w:val="00330C54"/>
    <w:rsid w:val="00356B4E"/>
    <w:rsid w:val="00360C07"/>
    <w:rsid w:val="00387502"/>
    <w:rsid w:val="003940F9"/>
    <w:rsid w:val="003A4551"/>
    <w:rsid w:val="003B1A42"/>
    <w:rsid w:val="003B499F"/>
    <w:rsid w:val="003E4DFB"/>
    <w:rsid w:val="004100CD"/>
    <w:rsid w:val="0041357C"/>
    <w:rsid w:val="00515D39"/>
    <w:rsid w:val="00563A6C"/>
    <w:rsid w:val="0058723D"/>
    <w:rsid w:val="005E7693"/>
    <w:rsid w:val="005F4133"/>
    <w:rsid w:val="005F50D1"/>
    <w:rsid w:val="00616039"/>
    <w:rsid w:val="00673463"/>
    <w:rsid w:val="00680B84"/>
    <w:rsid w:val="00706E3B"/>
    <w:rsid w:val="00734636"/>
    <w:rsid w:val="00751D5C"/>
    <w:rsid w:val="007712C5"/>
    <w:rsid w:val="0078616F"/>
    <w:rsid w:val="007A777F"/>
    <w:rsid w:val="0080134B"/>
    <w:rsid w:val="00807C78"/>
    <w:rsid w:val="00823AED"/>
    <w:rsid w:val="00835714"/>
    <w:rsid w:val="008422C2"/>
    <w:rsid w:val="0088579B"/>
    <w:rsid w:val="00901803"/>
    <w:rsid w:val="00911A27"/>
    <w:rsid w:val="00942D30"/>
    <w:rsid w:val="00955B03"/>
    <w:rsid w:val="009846CE"/>
    <w:rsid w:val="009B30EB"/>
    <w:rsid w:val="00A04A0B"/>
    <w:rsid w:val="00A35603"/>
    <w:rsid w:val="00A55133"/>
    <w:rsid w:val="00A920A3"/>
    <w:rsid w:val="00AE653B"/>
    <w:rsid w:val="00B1081C"/>
    <w:rsid w:val="00B95EC8"/>
    <w:rsid w:val="00BC697D"/>
    <w:rsid w:val="00C12F03"/>
    <w:rsid w:val="00C24051"/>
    <w:rsid w:val="00C32337"/>
    <w:rsid w:val="00C33469"/>
    <w:rsid w:val="00C70515"/>
    <w:rsid w:val="00CA2E9F"/>
    <w:rsid w:val="00CB1BA4"/>
    <w:rsid w:val="00CB549E"/>
    <w:rsid w:val="00CC03AB"/>
    <w:rsid w:val="00CC18EB"/>
    <w:rsid w:val="00D04D06"/>
    <w:rsid w:val="00D614C2"/>
    <w:rsid w:val="00D82B1C"/>
    <w:rsid w:val="00DC6B20"/>
    <w:rsid w:val="00E3532D"/>
    <w:rsid w:val="00E74402"/>
    <w:rsid w:val="00EA5B65"/>
    <w:rsid w:val="00EB5417"/>
    <w:rsid w:val="00F53083"/>
    <w:rsid w:val="00F900C7"/>
    <w:rsid w:val="00FA5A1D"/>
    <w:rsid w:val="00FB01FC"/>
    <w:rsid w:val="00FE081D"/>
    <w:rsid w:val="00FF2EE8"/>
    <w:rsid w:val="021F3C39"/>
    <w:rsid w:val="0723554D"/>
    <w:rsid w:val="1B3E3B9D"/>
    <w:rsid w:val="1D063C0D"/>
    <w:rsid w:val="25C11614"/>
    <w:rsid w:val="2D0941BF"/>
    <w:rsid w:val="484221CC"/>
    <w:rsid w:val="75184F7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datastoreItem>
</file>

<file path=docProps/app.xml><?xml version="1.0" encoding="utf-8"?>
<Properties xmlns="http://schemas.openxmlformats.org/officeDocument/2006/extended-properties" xmlns:vt="http://schemas.openxmlformats.org/officeDocument/2006/docPropsVTypes">
  <Template>Normal</Template>
  <Pages>7</Pages>
  <Words>534</Words>
  <Characters>3047</Characters>
  <Lines>25</Lines>
  <Paragraphs>7</Paragraphs>
  <TotalTime>2607</TotalTime>
  <ScaleCrop>false</ScaleCrop>
  <LinksUpToDate>false</LinksUpToDate>
  <CharactersWithSpaces>3574</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2020-06-05T13:16:59Z</dcterms:modified>
  <cp:revision>185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