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36"/>
        <w:jc w:val="center"/>
        <w:rPr>
          <w:rFonts w:hint="eastAsia" w:ascii="黑体" w:hAnsi="黑体" w:eastAsia="黑体" w:cs="宋体"/>
          <w:b/>
          <w:bCs/>
          <w:color w:val="121212"/>
          <w:kern w:val="0"/>
          <w:sz w:val="36"/>
          <w:szCs w:val="36"/>
          <w:lang w:val="en-US" w:eastAsia="zh-CN"/>
        </w:rPr>
      </w:pPr>
      <w:r>
        <w:rPr>
          <w:rFonts w:hint="eastAsia" w:ascii="黑体" w:hAnsi="黑体" w:eastAsia="黑体" w:cs="宋体"/>
          <w:b/>
          <w:bCs/>
          <w:color w:val="121212"/>
          <w:kern w:val="0"/>
          <w:sz w:val="36"/>
          <w:szCs w:val="36"/>
        </w:rPr>
        <w:t>基金排行-</w:t>
      </w:r>
      <w:r>
        <w:rPr>
          <w:rFonts w:ascii="黑体" w:hAnsi="黑体" w:eastAsia="黑体" w:cs="宋体"/>
          <w:b/>
          <w:bCs/>
          <w:color w:val="121212"/>
          <w:kern w:val="0"/>
          <w:sz w:val="36"/>
          <w:szCs w:val="36"/>
        </w:rPr>
        <w:t>210</w:t>
      </w:r>
      <w:r>
        <w:rPr>
          <w:rFonts w:hint="eastAsia" w:ascii="黑体" w:hAnsi="黑体" w:eastAsia="黑体" w:cs="宋体"/>
          <w:b/>
          <w:bCs/>
          <w:color w:val="121212"/>
          <w:kern w:val="0"/>
          <w:sz w:val="36"/>
          <w:szCs w:val="36"/>
          <w:lang w:val="en-US" w:eastAsia="zh-CN"/>
        </w:rPr>
        <w:t>5</w:t>
      </w:r>
    </w:p>
    <w:p>
      <w:pPr>
        <w:widowControl/>
        <w:shd w:val="clear" w:color="auto" w:fill="FFFFFF"/>
        <w:spacing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本文从基金业绩排行出发，筛选各种类中的优质基金，并做一个简单的排行。首先明确几个概念。</w:t>
      </w:r>
    </w:p>
    <w:p>
      <w:pPr>
        <w:widowControl/>
        <w:shd w:val="clear" w:color="auto" w:fill="FFFFFF"/>
        <w:spacing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1.波动率：波动率是金融资产价格的波动程度，是对</w:t>
      </w:r>
      <w:r>
        <w:fldChar w:fldCharType="begin"/>
      </w:r>
      <w:r>
        <w:instrText xml:space="preserve"> HYPERLINK "https://link.zhihu.com/?target=https%3A//baike.baidu.com/item/%25E8%25B5%2584%25E4%25BA%25A7%25E6%2594%25B6%25E7%259B%258A%25E7%258E%2587/2429091" \t "_blank" </w:instrText>
      </w:r>
      <w:r>
        <w:fldChar w:fldCharType="separate"/>
      </w:r>
      <w:r>
        <w:rPr>
          <w:rFonts w:hint="eastAsia" w:ascii="宋体" w:hAnsi="宋体" w:eastAsia="宋体" w:cs="宋体"/>
          <w:color w:val="121212"/>
          <w:kern w:val="0"/>
          <w:sz w:val="24"/>
          <w:szCs w:val="24"/>
        </w:rPr>
        <w:t>资产收益率</w:t>
      </w:r>
      <w:r>
        <w:rPr>
          <w:rFonts w:hint="eastAsia" w:ascii="宋体" w:hAnsi="宋体" w:eastAsia="宋体" w:cs="宋体"/>
          <w:color w:val="121212"/>
          <w:kern w:val="0"/>
          <w:sz w:val="24"/>
          <w:szCs w:val="24"/>
        </w:rPr>
        <w:fldChar w:fldCharType="end"/>
      </w:r>
      <w:r>
        <w:fldChar w:fldCharType="begin"/>
      </w:r>
      <w:r>
        <w:instrText xml:space="preserve"> HYPERLINK "https://link.zhihu.com/?target=https%3A//baike.baidu.com/item/%25E4%25B8%258D%25E7%25A1%25AE%25E5%25AE%259A%25E6%2580%25A7/8250115" \t "_blank" </w:instrText>
      </w:r>
      <w:r>
        <w:fldChar w:fldCharType="separate"/>
      </w:r>
      <w:r>
        <w:rPr>
          <w:rFonts w:hint="eastAsia" w:ascii="宋体" w:hAnsi="宋体" w:eastAsia="宋体" w:cs="宋体"/>
          <w:color w:val="121212"/>
          <w:kern w:val="0"/>
          <w:sz w:val="24"/>
          <w:szCs w:val="24"/>
        </w:rPr>
        <w:t>不确定性</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的衡量，用于反映</w:t>
      </w:r>
      <w:r>
        <w:fldChar w:fldCharType="begin"/>
      </w:r>
      <w:r>
        <w:instrText xml:space="preserve"> HYPERLINK "https://link.zhihu.com/?target=https%3A//baike.baidu.com/item/%25E9%2587%2591%25E8%259E%258D%25E8%25B5%2584%25E4%25BA%25A7/4468342" \t "_blank" </w:instrText>
      </w:r>
      <w:r>
        <w:fldChar w:fldCharType="separate"/>
      </w:r>
      <w:r>
        <w:rPr>
          <w:rFonts w:hint="eastAsia" w:ascii="宋体" w:hAnsi="宋体" w:eastAsia="宋体" w:cs="宋体"/>
          <w:color w:val="121212"/>
          <w:kern w:val="0"/>
          <w:sz w:val="24"/>
          <w:szCs w:val="24"/>
        </w:rPr>
        <w:t>金融资产</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的风险水平。波动率越高，金融资产价格的波动越剧烈，资产收益率的不确定性就越强；波动率越低，金融资产价格的波动越平缓，资产收益率的确定性就越强。</w:t>
      </w:r>
    </w:p>
    <w:p>
      <w:pPr>
        <w:widowControl/>
        <w:shd w:val="clear" w:color="auto" w:fill="FFFFFF"/>
        <w:spacing w:before="336"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2.夏普比率:夏普比率（Sharpe Ratio），又被称为夏普指数 --- 基金绩效评价标准化指标。风险调整后的</w:t>
      </w:r>
      <w:r>
        <w:fldChar w:fldCharType="begin"/>
      </w:r>
      <w:r>
        <w:instrText xml:space="preserve"> HYPERLINK "https://link.zhihu.com/?target=https%3A//baike.baidu.com/item/%25E6%2594%25B6%25E7%259B%258A%25E7%258E%2587/4533890" \t "_blank" </w:instrText>
      </w:r>
      <w:r>
        <w:fldChar w:fldCharType="separate"/>
      </w:r>
      <w:r>
        <w:rPr>
          <w:rFonts w:hint="eastAsia" w:ascii="宋体" w:hAnsi="宋体" w:eastAsia="宋体" w:cs="宋体"/>
          <w:color w:val="121212"/>
          <w:kern w:val="0"/>
          <w:sz w:val="24"/>
          <w:szCs w:val="24"/>
        </w:rPr>
        <w:t>收益率</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就是一个可以同时对收益与风险加以考虑的综合指标，长期能够排除</w:t>
      </w:r>
      <w:r>
        <w:fldChar w:fldCharType="begin"/>
      </w:r>
      <w:r>
        <w:instrText xml:space="preserve"> HYPERLINK "https://link.zhihu.com/?target=https%3A//baike.baidu.com/item/%25E9%25A3%258E%25E9%2599%25A9%25E5%259B%25A0%25E7%25B4%25A0/10506197" \t "_blank" </w:instrText>
      </w:r>
      <w:r>
        <w:fldChar w:fldCharType="separate"/>
      </w:r>
      <w:r>
        <w:rPr>
          <w:rFonts w:hint="eastAsia" w:ascii="宋体" w:hAnsi="宋体" w:eastAsia="宋体" w:cs="宋体"/>
          <w:color w:val="121212"/>
          <w:kern w:val="0"/>
          <w:sz w:val="24"/>
          <w:szCs w:val="24"/>
        </w:rPr>
        <w:t>风险因素</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对绩效评估的不利影响。夏普比率就是一个可以同时对收益与风险加以综合考虑的三大经典指标之一。 投资中有一个常规的特点，即投资标的的预期报酬越高，投资人所能忍受的波动风险越高；反之，预期报酬越低，波动风险也越低。</w:t>
      </w:r>
    </w:p>
    <w:p>
      <w:pPr>
        <w:widowControl/>
        <w:shd w:val="clear" w:color="auto" w:fill="FFFFFF"/>
        <w:spacing w:before="336"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3.最大回撤:指在选定周期内任一历史时点往后推，产品净值走到最低点时的收益率回撤幅度的最大值。最大回撤用来描述买入产品后可能出现的最糟糕的情况。最大回撤是一个重要的风险指标，对于</w:t>
      </w:r>
      <w:r>
        <w:fldChar w:fldCharType="begin"/>
      </w:r>
      <w:r>
        <w:instrText xml:space="preserve"> HYPERLINK "https://link.zhihu.com/?target=https%3A//baike.baidu.com/item/%25E5%25AF%25B9%25E5%2586%25B2%25E5%259F%25BA%25E9%2587%2591/13352853" \t "_blank" </w:instrText>
      </w:r>
      <w:r>
        <w:fldChar w:fldCharType="separate"/>
      </w:r>
      <w:r>
        <w:rPr>
          <w:rFonts w:hint="eastAsia" w:ascii="宋体" w:hAnsi="宋体" w:eastAsia="宋体" w:cs="宋体"/>
          <w:color w:val="121212"/>
          <w:kern w:val="0"/>
          <w:sz w:val="24"/>
          <w:szCs w:val="24"/>
        </w:rPr>
        <w:t>对冲基金</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和数量化</w:t>
      </w:r>
      <w:r>
        <w:fldChar w:fldCharType="begin"/>
      </w:r>
      <w:r>
        <w:instrText xml:space="preserve"> HYPERLINK "https://link.zhihu.com/?target=https%3A//baike.baidu.com/item/%25E7%25AD%2596%25E7%2595%25A5%25E4%25BA%25A4%25E6%2598%2593/6121603" \t "_blank" </w:instrText>
      </w:r>
      <w:r>
        <w:fldChar w:fldCharType="separate"/>
      </w:r>
      <w:r>
        <w:rPr>
          <w:rFonts w:hint="eastAsia" w:ascii="宋体" w:hAnsi="宋体" w:eastAsia="宋体" w:cs="宋体"/>
          <w:color w:val="121212"/>
          <w:kern w:val="0"/>
          <w:sz w:val="24"/>
          <w:szCs w:val="24"/>
        </w:rPr>
        <w:t>策略交易</w:t>
      </w:r>
      <w:r>
        <w:rPr>
          <w:rFonts w:hint="eastAsia" w:ascii="宋体" w:hAnsi="宋体" w:eastAsia="宋体" w:cs="宋体"/>
          <w:color w:val="121212"/>
          <w:kern w:val="0"/>
          <w:sz w:val="24"/>
          <w:szCs w:val="24"/>
        </w:rPr>
        <w:fldChar w:fldCharType="end"/>
      </w:r>
      <w:r>
        <w:rPr>
          <w:rFonts w:hint="eastAsia" w:ascii="宋体" w:hAnsi="宋体" w:eastAsia="宋体" w:cs="宋体"/>
          <w:color w:val="121212"/>
          <w:kern w:val="0"/>
          <w:sz w:val="24"/>
          <w:szCs w:val="24"/>
        </w:rPr>
        <w:t>，该指标比波动率还重要。</w:t>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本文中的波动率、夏普比率和最大回撤统一指</w:t>
      </w:r>
      <w:r>
        <w:rPr>
          <w:rFonts w:hint="eastAsia" w:ascii="宋体" w:hAnsi="宋体" w:eastAsia="宋体" w:cs="宋体"/>
          <w:b/>
          <w:bCs/>
          <w:color w:val="121212"/>
          <w:kern w:val="0"/>
          <w:sz w:val="24"/>
          <w:szCs w:val="24"/>
        </w:rPr>
        <w:t>近两年</w:t>
      </w:r>
      <w:r>
        <w:rPr>
          <w:rFonts w:hint="eastAsia" w:ascii="宋体" w:hAnsi="宋体" w:eastAsia="宋体" w:cs="宋体"/>
          <w:bCs/>
          <w:color w:val="121212"/>
          <w:kern w:val="0"/>
          <w:sz w:val="24"/>
          <w:szCs w:val="24"/>
        </w:rPr>
        <w:t>或</w:t>
      </w:r>
      <w:r>
        <w:rPr>
          <w:rFonts w:hint="eastAsia" w:ascii="宋体" w:hAnsi="宋体" w:eastAsia="宋体" w:cs="宋体"/>
          <w:b/>
          <w:bCs/>
          <w:color w:val="121212"/>
          <w:kern w:val="0"/>
          <w:sz w:val="24"/>
          <w:szCs w:val="24"/>
        </w:rPr>
        <w:t>近三年</w:t>
      </w:r>
      <w:r>
        <w:rPr>
          <w:rFonts w:hint="eastAsia" w:ascii="宋体" w:hAnsi="宋体" w:eastAsia="宋体" w:cs="宋体"/>
          <w:color w:val="121212"/>
          <w:kern w:val="0"/>
          <w:sz w:val="24"/>
          <w:szCs w:val="24"/>
        </w:rPr>
        <w:t>指标。</w:t>
      </w:r>
    </w:p>
    <w:p>
      <w:pPr>
        <w:widowControl/>
        <w:shd w:val="clear" w:color="auto" w:fill="FFFFFF"/>
        <w:spacing w:before="336" w:after="336"/>
        <w:ind w:firstLine="482" w:firstLineChars="200"/>
        <w:jc w:val="left"/>
        <w:rPr>
          <w:rFonts w:ascii="宋体" w:hAnsi="宋体" w:eastAsia="宋体" w:cs="宋体"/>
          <w:b/>
          <w:bCs/>
          <w:color w:val="121212"/>
          <w:kern w:val="0"/>
          <w:sz w:val="24"/>
          <w:szCs w:val="24"/>
        </w:rPr>
      </w:pPr>
      <w:r>
        <w:rPr>
          <w:rFonts w:hint="eastAsia" w:ascii="宋体" w:hAnsi="宋体" w:eastAsia="宋体" w:cs="宋体"/>
          <w:b/>
          <w:bCs/>
          <w:color w:val="121212"/>
          <w:kern w:val="0"/>
          <w:sz w:val="24"/>
          <w:szCs w:val="24"/>
        </w:rPr>
        <w:t>近三年中，沪深3</w:t>
      </w:r>
      <w:r>
        <w:rPr>
          <w:rFonts w:ascii="宋体" w:hAnsi="宋体" w:eastAsia="宋体" w:cs="宋体"/>
          <w:b/>
          <w:bCs/>
          <w:color w:val="121212"/>
          <w:kern w:val="0"/>
          <w:sz w:val="24"/>
          <w:szCs w:val="24"/>
        </w:rPr>
        <w:t xml:space="preserve">00 </w:t>
      </w:r>
      <w:r>
        <w:rPr>
          <w:rFonts w:hint="eastAsia" w:ascii="宋体" w:hAnsi="宋体" w:eastAsia="宋体" w:cs="宋体"/>
          <w:b/>
          <w:bCs/>
          <w:color w:val="121212"/>
          <w:kern w:val="0"/>
          <w:sz w:val="24"/>
          <w:szCs w:val="24"/>
        </w:rPr>
        <w:t>夏普比例为0</w:t>
      </w:r>
      <w:r>
        <w:rPr>
          <w:rFonts w:ascii="宋体" w:hAnsi="宋体" w:eastAsia="宋体" w:cs="宋体"/>
          <w:b/>
          <w:bCs/>
          <w:color w:val="121212"/>
          <w:kern w:val="0"/>
          <w:sz w:val="24"/>
          <w:szCs w:val="24"/>
        </w:rPr>
        <w:t>.</w:t>
      </w:r>
      <w:r>
        <w:rPr>
          <w:rFonts w:hint="eastAsia" w:ascii="宋体" w:hAnsi="宋体" w:eastAsia="宋体" w:cs="宋体"/>
          <w:b/>
          <w:bCs/>
          <w:color w:val="121212"/>
          <w:kern w:val="0"/>
          <w:sz w:val="24"/>
          <w:szCs w:val="24"/>
          <w:lang w:val="en-US" w:eastAsia="zh-CN"/>
        </w:rPr>
        <w:t>43</w:t>
      </w:r>
      <w:r>
        <w:rPr>
          <w:rFonts w:hint="eastAsia" w:ascii="宋体" w:hAnsi="宋体" w:eastAsia="宋体" w:cs="宋体"/>
          <w:b/>
          <w:bCs/>
          <w:color w:val="121212"/>
          <w:kern w:val="0"/>
          <w:sz w:val="24"/>
          <w:szCs w:val="24"/>
        </w:rPr>
        <w:t>，最大回撤为-</w:t>
      </w:r>
      <w:r>
        <w:rPr>
          <w:rFonts w:ascii="宋体" w:hAnsi="宋体" w:eastAsia="宋体" w:cs="宋体"/>
          <w:b/>
          <w:bCs/>
          <w:color w:val="121212"/>
          <w:kern w:val="0"/>
          <w:sz w:val="24"/>
          <w:szCs w:val="24"/>
        </w:rPr>
        <w:t>24.</w:t>
      </w:r>
      <w:r>
        <w:rPr>
          <w:rFonts w:hint="eastAsia" w:ascii="宋体" w:hAnsi="宋体" w:eastAsia="宋体" w:cs="宋体"/>
          <w:b/>
          <w:bCs/>
          <w:color w:val="121212"/>
          <w:kern w:val="0"/>
          <w:sz w:val="24"/>
          <w:szCs w:val="24"/>
          <w:lang w:val="en-US" w:eastAsia="zh-CN"/>
        </w:rPr>
        <w:t>45</w:t>
      </w:r>
      <w:r>
        <w:rPr>
          <w:rFonts w:hint="eastAsia" w:ascii="宋体" w:hAnsi="宋体" w:eastAsia="宋体" w:cs="宋体"/>
          <w:b/>
          <w:bCs/>
          <w:color w:val="121212"/>
          <w:kern w:val="0"/>
          <w:sz w:val="24"/>
          <w:szCs w:val="24"/>
        </w:rPr>
        <w:t>%，波动率为2</w:t>
      </w:r>
      <w:r>
        <w:rPr>
          <w:rFonts w:ascii="宋体" w:hAnsi="宋体" w:eastAsia="宋体" w:cs="宋体"/>
          <w:b/>
          <w:bCs/>
          <w:color w:val="121212"/>
          <w:kern w:val="0"/>
          <w:sz w:val="24"/>
          <w:szCs w:val="24"/>
        </w:rPr>
        <w:t>1.</w:t>
      </w:r>
      <w:r>
        <w:rPr>
          <w:rFonts w:hint="eastAsia" w:ascii="宋体" w:hAnsi="宋体" w:eastAsia="宋体" w:cs="宋体"/>
          <w:b/>
          <w:bCs/>
          <w:color w:val="121212"/>
          <w:kern w:val="0"/>
          <w:sz w:val="24"/>
          <w:szCs w:val="24"/>
          <w:lang w:val="en-US" w:eastAsia="zh-CN"/>
        </w:rPr>
        <w:t>78</w:t>
      </w:r>
      <w:r>
        <w:rPr>
          <w:rFonts w:hint="eastAsia" w:ascii="宋体" w:hAnsi="宋体" w:eastAsia="宋体" w:cs="宋体"/>
          <w:b/>
          <w:bCs/>
          <w:color w:val="121212"/>
          <w:kern w:val="0"/>
          <w:sz w:val="24"/>
          <w:szCs w:val="24"/>
        </w:rPr>
        <w:t>%</w:t>
      </w:r>
      <w:r>
        <w:rPr>
          <w:rFonts w:ascii="宋体" w:hAnsi="宋体" w:eastAsia="宋体" w:cs="宋体"/>
          <w:b/>
          <w:bCs/>
          <w:color w:val="121212"/>
          <w:kern w:val="0"/>
          <w:sz w:val="24"/>
          <w:szCs w:val="24"/>
        </w:rPr>
        <w:t xml:space="preserve"> </w:t>
      </w:r>
      <w:r>
        <w:rPr>
          <w:rFonts w:hint="eastAsia" w:ascii="宋体" w:hAnsi="宋体" w:eastAsia="宋体" w:cs="宋体"/>
          <w:b/>
          <w:bCs/>
          <w:color w:val="121212"/>
          <w:kern w:val="0"/>
          <w:sz w:val="24"/>
          <w:szCs w:val="24"/>
        </w:rPr>
        <w:t>。</w:t>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股票型：选取近1月、近3月、近6月、近1年、近2年、今年以来业绩排行前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w:t>
      </w:r>
      <w:r>
        <w:rPr>
          <w:rFonts w:ascii="宋体" w:hAnsi="宋体" w:eastAsia="宋体" w:cs="宋体"/>
          <w:color w:val="121212"/>
          <w:kern w:val="0"/>
          <w:sz w:val="24"/>
          <w:szCs w:val="24"/>
        </w:rPr>
        <w:t>4</w:t>
      </w:r>
      <w:r>
        <w:rPr>
          <w:rFonts w:hint="eastAsia" w:ascii="宋体" w:hAnsi="宋体" w:eastAsia="宋体" w:cs="宋体"/>
          <w:color w:val="121212"/>
          <w:kern w:val="0"/>
          <w:sz w:val="24"/>
          <w:szCs w:val="24"/>
        </w:rPr>
        <w:t>，基金规模大于</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亿以上，基金经理从业3年以上，夏普比率大于1的基金。 如图所示：</w:t>
      </w:r>
    </w:p>
    <w:p>
      <w:pPr>
        <w:widowControl/>
        <w:ind w:left="-1039" w:leftChars="-495" w:firstLine="0" w:firstLineChars="0"/>
        <w:jc w:val="left"/>
        <w:rPr>
          <w:rFonts w:ascii="宋体" w:hAnsi="宋体" w:eastAsia="宋体" w:cs="宋体"/>
          <w:kern w:val="0"/>
          <w:sz w:val="24"/>
          <w:szCs w:val="24"/>
        </w:rPr>
      </w:pPr>
      <w:r>
        <w:drawing>
          <wp:inline distT="0" distB="0" distL="114300" distR="114300">
            <wp:extent cx="6955155" cy="1856105"/>
            <wp:effectExtent l="0" t="0" r="952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6955155" cy="1856105"/>
                    </a:xfrm>
                    <a:prstGeom prst="rect">
                      <a:avLst/>
                    </a:prstGeom>
                    <a:noFill/>
                    <a:ln>
                      <a:noFill/>
                    </a:ln>
                  </pic:spPr>
                </pic:pic>
              </a:graphicData>
            </a:graphic>
          </wp:inline>
        </w:drawing>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混合型：选取近1月</w:t>
      </w:r>
      <w:r>
        <w:rPr>
          <w:rFonts w:hint="eastAsia" w:ascii="宋体" w:hAnsi="宋体" w:eastAsia="宋体" w:cs="宋体"/>
          <w:color w:val="121212"/>
          <w:kern w:val="0"/>
          <w:sz w:val="24"/>
          <w:szCs w:val="24"/>
          <w:lang w:eastAsia="zh-CN"/>
        </w:rPr>
        <w:t>、</w:t>
      </w:r>
      <w:r>
        <w:rPr>
          <w:rFonts w:hint="eastAsia" w:ascii="宋体" w:hAnsi="宋体" w:eastAsia="宋体" w:cs="宋体"/>
          <w:color w:val="121212"/>
          <w:kern w:val="0"/>
          <w:sz w:val="24"/>
          <w:szCs w:val="24"/>
        </w:rPr>
        <w:t>近3月、近6月、近1年、近2年、今年来业绩排行前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w:t>
      </w:r>
      <w:r>
        <w:rPr>
          <w:rFonts w:ascii="宋体" w:hAnsi="宋体" w:eastAsia="宋体" w:cs="宋体"/>
          <w:color w:val="121212"/>
          <w:kern w:val="0"/>
          <w:sz w:val="24"/>
          <w:szCs w:val="24"/>
        </w:rPr>
        <w:t>4</w:t>
      </w:r>
      <w:r>
        <w:rPr>
          <w:rFonts w:hint="eastAsia" w:ascii="宋体" w:hAnsi="宋体" w:eastAsia="宋体" w:cs="宋体"/>
          <w:color w:val="121212"/>
          <w:kern w:val="0"/>
          <w:sz w:val="24"/>
          <w:szCs w:val="24"/>
        </w:rPr>
        <w:t>，</w:t>
      </w:r>
      <w:r>
        <w:rPr>
          <w:rFonts w:hint="eastAsia" w:ascii="宋体" w:hAnsi="宋体" w:eastAsia="宋体" w:cs="宋体"/>
          <w:color w:val="121212"/>
          <w:kern w:val="0"/>
          <w:sz w:val="24"/>
          <w:szCs w:val="24"/>
          <w:lang w:val="en-US" w:eastAsia="zh-CN"/>
        </w:rPr>
        <w:t>近3年来业绩排行前1/10,</w:t>
      </w:r>
      <w:r>
        <w:rPr>
          <w:rFonts w:ascii="宋体" w:hAnsi="宋体" w:eastAsia="宋体" w:cs="宋体"/>
          <w:color w:val="121212"/>
          <w:kern w:val="0"/>
          <w:sz w:val="24"/>
          <w:szCs w:val="24"/>
        </w:rPr>
        <w:t>2020年</w:t>
      </w:r>
      <w:r>
        <w:rPr>
          <w:rFonts w:hint="eastAsia" w:ascii="宋体" w:hAnsi="宋体" w:eastAsia="宋体" w:cs="宋体"/>
          <w:color w:val="121212"/>
          <w:kern w:val="0"/>
          <w:sz w:val="24"/>
          <w:szCs w:val="24"/>
        </w:rPr>
        <w:t>业绩排行前</w:t>
      </w:r>
      <w:r>
        <w:rPr>
          <w:rFonts w:ascii="宋体" w:hAnsi="宋体" w:eastAsia="宋体" w:cs="宋体"/>
          <w:color w:val="121212"/>
          <w:kern w:val="0"/>
          <w:sz w:val="24"/>
          <w:szCs w:val="24"/>
        </w:rPr>
        <w:t>1/4、2019年</w:t>
      </w:r>
      <w:r>
        <w:rPr>
          <w:rFonts w:hint="eastAsia" w:ascii="宋体" w:hAnsi="宋体" w:eastAsia="宋体" w:cs="宋体"/>
          <w:color w:val="121212"/>
          <w:kern w:val="0"/>
          <w:sz w:val="24"/>
          <w:szCs w:val="24"/>
        </w:rPr>
        <w:t>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lang w:val="en-US" w:eastAsia="zh-CN"/>
        </w:rPr>
        <w:t>4</w:t>
      </w:r>
      <w:r>
        <w:rPr>
          <w:rFonts w:hint="eastAsia" w:ascii="宋体" w:hAnsi="宋体" w:eastAsia="宋体" w:cs="宋体"/>
          <w:color w:val="121212"/>
          <w:kern w:val="0"/>
          <w:sz w:val="24"/>
          <w:szCs w:val="24"/>
        </w:rPr>
        <w:t>，基金规模大于</w:t>
      </w:r>
      <w:r>
        <w:rPr>
          <w:rFonts w:hint="eastAsia" w:ascii="宋体" w:hAnsi="宋体" w:eastAsia="宋体" w:cs="宋体"/>
          <w:color w:val="121212"/>
          <w:kern w:val="0"/>
          <w:sz w:val="24"/>
          <w:szCs w:val="24"/>
          <w:lang w:val="en-US" w:eastAsia="zh-CN"/>
        </w:rPr>
        <w:t>2</w:t>
      </w:r>
      <w:r>
        <w:rPr>
          <w:rFonts w:hint="eastAsia" w:ascii="宋体" w:hAnsi="宋体" w:eastAsia="宋体" w:cs="宋体"/>
          <w:color w:val="121212"/>
          <w:kern w:val="0"/>
          <w:sz w:val="24"/>
          <w:szCs w:val="24"/>
        </w:rPr>
        <w:t>亿以上，基金经理从业3年以上，夏普比率大于1的基金。 如图所示：</w:t>
      </w:r>
    </w:p>
    <w:p>
      <w:pPr>
        <w:widowControl/>
        <w:ind w:left="-1039" w:leftChars="-495" w:right="-907" w:rightChars="-432" w:firstLine="0" w:firstLineChars="0"/>
        <w:jc w:val="left"/>
        <w:rPr>
          <w:rFonts w:ascii="宋体" w:hAnsi="宋体" w:eastAsia="宋体" w:cs="宋体"/>
          <w:kern w:val="0"/>
          <w:sz w:val="24"/>
          <w:szCs w:val="24"/>
        </w:rPr>
      </w:pPr>
      <w:r>
        <w:drawing>
          <wp:inline distT="0" distB="0" distL="114300" distR="114300">
            <wp:extent cx="6868160" cy="1963420"/>
            <wp:effectExtent l="0" t="0" r="508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6868160" cy="1963420"/>
                    </a:xfrm>
                    <a:prstGeom prst="rect">
                      <a:avLst/>
                    </a:prstGeom>
                    <a:noFill/>
                    <a:ln>
                      <a:noFill/>
                    </a:ln>
                  </pic:spPr>
                </pic:pic>
              </a:graphicData>
            </a:graphic>
          </wp:inline>
        </w:drawing>
      </w:r>
    </w:p>
    <w:p>
      <w:pPr>
        <w:widowControl/>
        <w:shd w:val="clear" w:color="auto" w:fill="FFFFFF"/>
        <w:spacing w:before="336" w:after="336"/>
        <w:ind w:firstLine="480" w:firstLineChars="200"/>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债券型：选取近1月、近3月、近6月、近1年、近2年、今年以来业绩排行前</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w:t>
      </w:r>
      <w:r>
        <w:rPr>
          <w:rFonts w:ascii="宋体" w:hAnsi="宋体" w:eastAsia="宋体" w:cs="宋体"/>
          <w:color w:val="121212"/>
          <w:kern w:val="0"/>
          <w:sz w:val="24"/>
          <w:szCs w:val="24"/>
        </w:rPr>
        <w:t>4，回撤</w:t>
      </w:r>
      <w:r>
        <w:rPr>
          <w:rFonts w:hint="eastAsia" w:ascii="宋体" w:hAnsi="宋体" w:eastAsia="宋体" w:cs="宋体"/>
          <w:color w:val="121212"/>
          <w:kern w:val="0"/>
          <w:sz w:val="24"/>
          <w:szCs w:val="24"/>
        </w:rPr>
        <w:t>在-</w:t>
      </w:r>
      <w:r>
        <w:rPr>
          <w:rFonts w:ascii="宋体" w:hAnsi="宋体" w:eastAsia="宋体" w:cs="宋体"/>
          <w:color w:val="121212"/>
          <w:kern w:val="0"/>
          <w:sz w:val="24"/>
          <w:szCs w:val="24"/>
        </w:rPr>
        <w:t>5</w:t>
      </w:r>
      <w:r>
        <w:rPr>
          <w:rFonts w:hint="eastAsia" w:ascii="宋体" w:hAnsi="宋体" w:eastAsia="宋体" w:cs="宋体"/>
          <w:color w:val="121212"/>
          <w:kern w:val="0"/>
          <w:sz w:val="24"/>
          <w:szCs w:val="24"/>
        </w:rPr>
        <w:t>%以内，基金规模大于</w:t>
      </w:r>
      <w:r>
        <w:rPr>
          <w:rFonts w:ascii="宋体" w:hAnsi="宋体" w:eastAsia="宋体" w:cs="宋体"/>
          <w:color w:val="121212"/>
          <w:kern w:val="0"/>
          <w:sz w:val="24"/>
          <w:szCs w:val="24"/>
        </w:rPr>
        <w:t>1</w:t>
      </w:r>
      <w:r>
        <w:rPr>
          <w:rFonts w:hint="eastAsia" w:ascii="宋体" w:hAnsi="宋体" w:eastAsia="宋体" w:cs="宋体"/>
          <w:color w:val="121212"/>
          <w:kern w:val="0"/>
          <w:sz w:val="24"/>
          <w:szCs w:val="24"/>
        </w:rPr>
        <w:t>亿以上，基金经理从业3年以上，夏普比率大于1的基金。 如图所示：</w:t>
      </w:r>
    </w:p>
    <w:p>
      <w:pPr>
        <w:widowControl/>
        <w:shd w:val="clear" w:color="auto" w:fill="FFFFFF"/>
        <w:spacing w:before="336" w:after="336"/>
        <w:ind w:left="-1039" w:leftChars="-495" w:right="-907" w:rightChars="-432" w:firstLine="0" w:firstLineChars="0"/>
        <w:jc w:val="left"/>
        <w:rPr>
          <w:rFonts w:ascii="宋体" w:hAnsi="宋体" w:eastAsia="宋体" w:cs="宋体"/>
          <w:color w:val="121212"/>
          <w:kern w:val="0"/>
          <w:sz w:val="24"/>
          <w:szCs w:val="24"/>
        </w:rPr>
      </w:pPr>
      <w:r>
        <w:drawing>
          <wp:inline distT="0" distB="0" distL="114300" distR="114300">
            <wp:extent cx="6811010" cy="1123315"/>
            <wp:effectExtent l="0" t="0" r="127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6811010" cy="1123315"/>
                    </a:xfrm>
                    <a:prstGeom prst="rect">
                      <a:avLst/>
                    </a:prstGeom>
                    <a:noFill/>
                    <a:ln>
                      <a:noFill/>
                    </a:ln>
                  </pic:spPr>
                </pic:pic>
              </a:graphicData>
            </a:graphic>
          </wp:inline>
        </w:drawing>
      </w:r>
    </w:p>
    <w:p>
      <w:pPr>
        <w:widowControl/>
        <w:shd w:val="clear" w:color="auto" w:fill="FFFFFF"/>
        <w:spacing w:before="336" w:after="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目前的收集仅仅是一个初筛的过程，接下来我会按照其他的一些策略</w:t>
      </w:r>
      <w:bookmarkStart w:id="0" w:name="_GoBack"/>
      <w:bookmarkEnd w:id="0"/>
      <w:r>
        <w:rPr>
          <w:rFonts w:hint="eastAsia" w:ascii="宋体" w:hAnsi="宋体" w:eastAsia="宋体" w:cs="宋体"/>
          <w:color w:val="121212"/>
          <w:kern w:val="0"/>
          <w:sz w:val="24"/>
          <w:szCs w:val="24"/>
        </w:rPr>
        <w:t>将这些基金压缩至</w:t>
      </w:r>
      <w:r>
        <w:rPr>
          <w:rFonts w:ascii="宋体" w:hAnsi="宋体" w:eastAsia="宋体" w:cs="宋体"/>
          <w:color w:val="121212"/>
          <w:kern w:val="0"/>
          <w:sz w:val="24"/>
          <w:szCs w:val="24"/>
        </w:rPr>
        <w:t>8</w:t>
      </w:r>
      <w:r>
        <w:rPr>
          <w:rFonts w:hint="eastAsia" w:ascii="宋体" w:hAnsi="宋体" w:eastAsia="宋体" w:cs="宋体"/>
          <w:color w:val="121212"/>
          <w:kern w:val="0"/>
          <w:sz w:val="24"/>
          <w:szCs w:val="24"/>
          <w:lang w:val="en-US" w:eastAsia="zh-CN"/>
        </w:rPr>
        <w:t>-10</w:t>
      </w:r>
      <w:r>
        <w:rPr>
          <w:rFonts w:hint="eastAsia" w:ascii="宋体" w:hAnsi="宋体" w:eastAsia="宋体" w:cs="宋体"/>
          <w:color w:val="121212"/>
          <w:kern w:val="0"/>
          <w:sz w:val="24"/>
          <w:szCs w:val="24"/>
        </w:rPr>
        <w:t>只以内作为一个基金池。</w:t>
      </w:r>
    </w:p>
    <w:p>
      <w:pPr>
        <w:widowControl/>
        <w:shd w:val="clear" w:color="auto" w:fill="FFFFFF"/>
        <w:spacing w:before="336"/>
        <w:jc w:val="left"/>
        <w:rPr>
          <w:rFonts w:ascii="宋体" w:hAnsi="宋体" w:eastAsia="宋体" w:cs="宋体"/>
          <w:color w:val="121212"/>
          <w:kern w:val="0"/>
          <w:sz w:val="24"/>
          <w:szCs w:val="24"/>
        </w:rPr>
      </w:pPr>
      <w:r>
        <w:rPr>
          <w:rFonts w:hint="eastAsia" w:ascii="宋体" w:hAnsi="宋体" w:eastAsia="宋体" w:cs="宋体"/>
          <w:color w:val="121212"/>
          <w:kern w:val="0"/>
          <w:sz w:val="24"/>
          <w:szCs w:val="24"/>
        </w:rPr>
        <w:t>本文数据计划每月更新一次，仅供数据分析使用。</w:t>
      </w: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50"/>
    <w:rsid w:val="0008215B"/>
    <w:rsid w:val="00133513"/>
    <w:rsid w:val="00140D66"/>
    <w:rsid w:val="002874CD"/>
    <w:rsid w:val="002C14EF"/>
    <w:rsid w:val="00304259"/>
    <w:rsid w:val="004A585E"/>
    <w:rsid w:val="004E0B8D"/>
    <w:rsid w:val="00506950"/>
    <w:rsid w:val="00C51F4F"/>
    <w:rsid w:val="00D95469"/>
    <w:rsid w:val="00F01895"/>
    <w:rsid w:val="00FC2C68"/>
    <w:rsid w:val="3908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329</Words>
  <Characters>1881</Characters>
  <Lines>15</Lines>
  <Paragraphs>4</Paragraphs>
  <TotalTime>0</TotalTime>
  <ScaleCrop>false</ScaleCrop>
  <LinksUpToDate>false</LinksUpToDate>
  <CharactersWithSpaces>2206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2021-01-15T16:01:00Z</dcterms:created>
  <dc:creator>admin</dc:creator>
  <cp:lastModifiedBy>Administrator</cp:lastModifiedBy>
  <dcterms:modified xsi:type="dcterms:W3CDTF">2021-05-01T13:12:37Z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1E4CA6B120434D5BB189B25B9FA52EBE</vt:lpwstr>
  </property>
</Properties>
</file>