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60" w:lineRule="atLeast"/>
        <w:ind w:firstLine="602" w:firstLineChars="2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周一：市场分析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作者：二师父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微信公众号：二师父定投</w:t>
      </w:r>
    </w:p>
    <w:p>
      <w:pPr>
        <w:spacing w:line="160" w:lineRule="atLeast"/>
        <w:ind w:firstLine="602" w:firstLineChars="2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二师父的名片</w:t>
      </w:r>
    </w:p>
    <w:p>
      <w:pPr>
        <w:spacing w:line="160" w:lineRule="atLeast"/>
        <w:ind w:firstLine="600" w:firstLineChars="200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294505" cy="2299335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ascii="仿宋" w:hAnsi="仿宋" w:eastAsia="仿宋" w:cs="Helvetica"/>
          <w:color w:val="000000"/>
          <w:sz w:val="25"/>
          <w:szCs w:val="25"/>
        </w:rPr>
      </w:pP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</w:rPr>
        <w:t>10年期国债收益率，这个收益率目前是</w:t>
      </w: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2.92</w:t>
      </w:r>
      <w:r>
        <w:rPr>
          <w:rFonts w:hint="eastAsia" w:ascii="仿宋" w:hAnsi="仿宋" w:eastAsia="仿宋" w:cs="Helvetica"/>
          <w:color w:val="000000"/>
          <w:sz w:val="25"/>
          <w:szCs w:val="25"/>
        </w:rPr>
        <w:t>，</w:t>
      </w: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债券仍旧牛市中，如果股票牛市到来，未来会逐步配置点债券。现在可以在基础配置上留存现金，等待机会。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default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大宗商品这块，黄金继续走高，白银和原油走低，小仓位配置白银和原油，当然这类品种的周期性极强，和油气一个性质的，只能轻仓，油气的话估计是油气公司的估值和盈利遭遇了双杀，目前不能申购，场内有溢价，就别买了，等待即可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行情转移，科技、券商、创业板、500和中概互联涨的比较好，不要追高，如果没有配置科技，可以小仓位1%参与，还有基金公司布局芯片，资金还在涌入</w:t>
      </w:r>
      <w:r>
        <w:rPr>
          <w:rFonts w:hint="eastAsia" w:ascii="仿宋" w:hAnsi="仿宋" w:eastAsia="仿宋" w:cs="Helvetica"/>
          <w:color w:val="000000"/>
          <w:sz w:val="25"/>
          <w:szCs w:val="25"/>
        </w:rPr>
        <w:t>。</w:t>
      </w: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当然这已经违背了低估定投原则，需要灵活应用，从仓位管理上风险可控，投资就是实现确定性最大收益。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银行方面业绩可能有压力，因为经济下行，一季度GDP估计不足5%，银行资产质量超预期恶化，那么会对银行有一定影响，如果在央行资金的推动下银行可能会继续上涨，控制住仓位，不管什么指数，最好单只仓位不要超过20%，你永远无法预测有什么事情将会发生。从长线角度看，银行处于低估值，高股息状态，定投的完全不用担心，可以继续定投，定投完毕也可以继续持有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rPr>
          <w:rFonts w:hint="default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目前的行情会跑一段时间，压力位置3106点，突破了那就有希望，总之，保证一定仓位，适当网格，仓位不足的遇到回调不要恐惧。</w:t>
      </w:r>
      <w:bookmarkStart w:id="0" w:name="_GoBack"/>
      <w:bookmarkEnd w:id="0"/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</w:pP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hint="default" w:ascii="仿宋" w:hAnsi="仿宋" w:eastAsia="仿宋" w:cs="Helvetica"/>
          <w:color w:val="000000"/>
          <w:sz w:val="25"/>
          <w:szCs w:val="25"/>
          <w:lang w:val="en-US" w:eastAsia="zh-CN"/>
        </w:rPr>
      </w:pP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rPr>
          <w:rFonts w:ascii="仿宋" w:hAnsi="仿宋" w:eastAsia="仿宋" w:cs="Helvetica"/>
          <w:color w:val="000000"/>
          <w:sz w:val="25"/>
          <w:szCs w:val="25"/>
        </w:rPr>
      </w:pPr>
    </w:p>
    <w:p>
      <w:pPr>
        <w:spacing w:line="160" w:lineRule="atLeast"/>
        <w:rPr>
          <w:rFonts w:ascii="仿宋" w:hAnsi="仿宋" w:eastAsia="仿宋"/>
          <w:sz w:val="25"/>
          <w:szCs w:val="25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仿宋" w:hAnsi="仿宋" w:eastAsia="仿宋"/>
        <w:b/>
      </w:rPr>
      <w:t>版权所有，转载请授权</w:t>
    </w:r>
    <w:r>
      <w:ptab w:relativeTo="margin" w:alignment="center" w:leader="none"/>
    </w:r>
    <w:r>
      <w:rPr>
        <w:rFonts w:hint="eastAsia" w:ascii="华文中宋" w:hAnsi="华文中宋" w:eastAsia="华文中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 w:ascii="仿宋" w:hAnsi="仿宋" w:eastAsia="仿宋"/>
        <w:b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87C65"/>
    <w:rsid w:val="008971F4"/>
    <w:rsid w:val="008B31CC"/>
    <w:rsid w:val="008B5066"/>
    <w:rsid w:val="008C33DB"/>
    <w:rsid w:val="008C4C42"/>
    <w:rsid w:val="008E01B1"/>
    <w:rsid w:val="008E3CA1"/>
    <w:rsid w:val="008E5506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69AB"/>
    <w:rsid w:val="00DE7232"/>
    <w:rsid w:val="00DF083E"/>
    <w:rsid w:val="00DF4B3D"/>
    <w:rsid w:val="00DF5D85"/>
    <w:rsid w:val="00DF7B5F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  <w:rsid w:val="0D0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5ECE4-74CD-40F3-B787-DA53E199F8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58</Words>
  <Characters>337</Characters>
  <Lines>2</Lines>
  <Paragraphs>1</Paragraphs>
  <TotalTime>1294</TotalTime>
  <ScaleCrop>false</ScaleCrop>
  <LinksUpToDate>false</LinksUpToDate>
  <CharactersWithSpaces>394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2018-01-29T14:59:00Z</dcterms:created>
  <dc:creator>ASUS</dc:creator>
  <cp:lastModifiedBy>微笑</cp:lastModifiedBy>
  <dcterms:modified xsi:type="dcterms:W3CDTF">2020-02-17T11:58:19Z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