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31"/>
          <w:tab w:val="center" w:pos="4213"/>
        </w:tabs>
        <w:jc w:val="center"/>
        <w:rPr>
          <w:rFonts w:hint="default" w:ascii="仿宋" w:hAnsi="仿宋" w:eastAsia="仿宋"/>
          <w:sz w:val="32"/>
          <w:szCs w:val="32"/>
          <w:lang w:val="en-US" w:eastAsia="zh-CN"/>
        </w:rPr>
      </w:pPr>
      <w:r>
        <w:rPr>
          <w:rFonts w:hint="eastAsia" w:ascii="仿宋" w:hAnsi="仿宋" w:eastAsia="仿宋"/>
          <w:sz w:val="32"/>
          <w:szCs w:val="32"/>
          <w:lang w:val="en-US" w:eastAsia="zh-CN"/>
        </w:rPr>
        <w:t>想布局消费板块，这个指数必须了解</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eastAsia"/>
          <w:lang w:val="en-US" w:eastAsia="zh-CN"/>
        </w:rPr>
      </w:pPr>
      <w:r>
        <w:rPr>
          <w:rFonts w:hint="eastAsia"/>
          <w:lang w:val="en-US" w:eastAsia="zh-CN"/>
        </w:rPr>
        <w:t>消费行业有可选消费和必须消费。</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必须消费里面有食品饮料、白酒啤酒，可选消费里面有家庭教育、家用电器。这些都是很好的赛道。受到经济周期影响较小。</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之前消费介绍了食品饮料指数、中证主要消费指数以及中证白酒指数，可选消费指数介绍过家用电器指数，都是很好的投资标的。</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今天再介绍一个消费指数，是投资主要消费和可选消费比较好的标的。目前场外没有较好的家用电器指数，可以关注这个指数。</w:t>
      </w:r>
    </w:p>
    <w:p>
      <w:pPr>
        <w:widowControl w:val="0"/>
        <w:numPr>
          <w:ilvl w:val="0"/>
          <w:numId w:val="0"/>
        </w:numPr>
        <w:jc w:val="left"/>
        <w:rPr>
          <w:rFonts w:hint="eastAsia"/>
          <w:lang w:val="en-US" w:eastAsia="zh-CN"/>
        </w:rPr>
      </w:pPr>
    </w:p>
    <w:p>
      <w:pPr>
        <w:widowControl w:val="0"/>
        <w:numPr>
          <w:ilvl w:val="0"/>
          <w:numId w:val="0"/>
        </w:numPr>
        <w:jc w:val="left"/>
        <w:rPr>
          <w:rFonts w:hint="default"/>
          <w:b/>
          <w:bCs/>
          <w:lang w:val="en-US" w:eastAsia="zh-CN"/>
        </w:rPr>
      </w:pPr>
      <w:r>
        <w:rPr>
          <w:rFonts w:hint="eastAsia"/>
          <w:b/>
          <w:bCs/>
          <w:lang w:val="en-US" w:eastAsia="zh-CN"/>
        </w:rPr>
        <w:t>1、深消费50</w:t>
      </w:r>
    </w:p>
    <w:p>
      <w:pPr>
        <w:widowControl w:val="0"/>
        <w:numPr>
          <w:ilvl w:val="0"/>
          <w:numId w:val="0"/>
        </w:numPr>
        <w:jc w:val="left"/>
        <w:rPr>
          <w:rFonts w:hint="eastAsia"/>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深消费50是由深市A股中代表性较强、流动性较好的50只可选和必须消费股票组成。持仓股票既有五粮液、温氏股份、牧原股份、新希望等主要消费类股票，也有格力电器、TCL科技以及比亚迪等可选消费类股票。</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bCs/>
          <w:lang w:val="en-US" w:eastAsia="zh-CN"/>
        </w:rPr>
      </w:pPr>
      <w:r>
        <w:rPr>
          <w:rFonts w:hint="eastAsia"/>
          <w:b/>
          <w:bCs/>
          <w:lang w:val="en-US" w:eastAsia="zh-CN"/>
        </w:rPr>
        <w:t>基日是2004年12月31日，基点是1000点，截止2020年4月30日，深消费50指数的点位是8060.7，年化复合收益率大概是14.9%。</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pPr>
      <w:r>
        <w:drawing>
          <wp:inline distT="0" distB="0" distL="114300" distR="114300">
            <wp:extent cx="5273675" cy="2530475"/>
            <wp:effectExtent l="0" t="0" r="1460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675" cy="2530475"/>
                    </a:xfrm>
                    <a:prstGeom prst="rect">
                      <a:avLst/>
                    </a:prstGeom>
                    <a:noFill/>
                    <a:ln>
                      <a:noFill/>
                    </a:ln>
                  </pic:spPr>
                </pic:pic>
              </a:graphicData>
            </a:graphic>
          </wp:inline>
        </w:drawing>
      </w:r>
    </w:p>
    <w:p>
      <w:pPr>
        <w:widowControl w:val="0"/>
        <w:numPr>
          <w:ilvl w:val="0"/>
          <w:numId w:val="0"/>
        </w:numPr>
        <w:tabs>
          <w:tab w:val="left" w:pos="6925"/>
        </w:tabs>
        <w:jc w:val="left"/>
      </w:pPr>
    </w:p>
    <w:p>
      <w:pPr>
        <w:widowControl w:val="0"/>
        <w:numPr>
          <w:ilvl w:val="0"/>
          <w:numId w:val="0"/>
        </w:numPr>
        <w:tabs>
          <w:tab w:val="left" w:pos="6925"/>
        </w:tabs>
        <w:jc w:val="left"/>
        <w:rPr>
          <w:rFonts w:hint="eastAsia"/>
          <w:lang w:val="en-US" w:eastAsia="zh-CN"/>
        </w:rPr>
      </w:pPr>
      <w:r>
        <w:rPr>
          <w:rFonts w:hint="eastAsia"/>
          <w:lang w:val="en-US" w:eastAsia="zh-CN"/>
        </w:rPr>
        <w:t>持仓股票比较均衡，大小盘比例适中，主要消费和可选消费也是大概1：1的比例。</w:t>
      </w:r>
    </w:p>
    <w:p>
      <w:pPr>
        <w:widowControl w:val="0"/>
        <w:numPr>
          <w:ilvl w:val="0"/>
          <w:numId w:val="0"/>
        </w:numPr>
        <w:tabs>
          <w:tab w:val="left" w:pos="6925"/>
        </w:tabs>
        <w:jc w:val="left"/>
        <w:rPr>
          <w:rFonts w:hint="eastAsia"/>
          <w:lang w:val="en-US" w:eastAsia="zh-CN"/>
        </w:rPr>
      </w:pPr>
    </w:p>
    <w:p>
      <w:pPr>
        <w:widowControl w:val="0"/>
        <w:numPr>
          <w:ilvl w:val="0"/>
          <w:numId w:val="0"/>
        </w:numPr>
        <w:tabs>
          <w:tab w:val="left" w:pos="6925"/>
        </w:tabs>
        <w:jc w:val="left"/>
        <w:rPr>
          <w:rFonts w:hint="default"/>
          <w:lang w:val="en-US" w:eastAsia="zh-CN"/>
        </w:rPr>
      </w:pPr>
      <w:r>
        <w:rPr>
          <w:rFonts w:hint="eastAsia"/>
          <w:lang w:val="en-US" w:eastAsia="zh-CN"/>
        </w:rPr>
        <w:t>这个指数完全覆盖了深交所各个板块最优秀的可选和必须消费类股票。</w:t>
      </w:r>
    </w:p>
    <w:p>
      <w:pPr>
        <w:widowControl w:val="0"/>
        <w:numPr>
          <w:ilvl w:val="0"/>
          <w:numId w:val="0"/>
        </w:numPr>
        <w:tabs>
          <w:tab w:val="left" w:pos="6925"/>
        </w:tabs>
        <w:jc w:val="left"/>
        <w:rPr>
          <w:rFonts w:hint="default"/>
          <w:lang w:val="en-US" w:eastAsia="zh-CN"/>
        </w:rPr>
      </w:pPr>
    </w:p>
    <w:p>
      <w:pPr>
        <w:widowControl w:val="0"/>
        <w:numPr>
          <w:ilvl w:val="0"/>
          <w:numId w:val="0"/>
        </w:numPr>
        <w:tabs>
          <w:tab w:val="left" w:pos="6925"/>
        </w:tabs>
        <w:jc w:val="left"/>
        <w:rPr>
          <w:rFonts w:hint="default"/>
          <w:b/>
          <w:bCs/>
          <w:lang w:val="en-US" w:eastAsia="zh-CN"/>
        </w:rPr>
      </w:pPr>
      <w:r>
        <w:rPr>
          <w:rFonts w:hint="eastAsia"/>
          <w:b/>
          <w:bCs/>
          <w:lang w:val="en-US" w:eastAsia="zh-CN"/>
        </w:rPr>
        <w:t>2、历史走势</w:t>
      </w:r>
    </w:p>
    <w:p>
      <w:pPr>
        <w:widowControl w:val="0"/>
        <w:numPr>
          <w:ilvl w:val="0"/>
          <w:numId w:val="0"/>
        </w:numPr>
        <w:jc w:val="left"/>
        <w:rPr>
          <w:rFonts w:hint="default"/>
          <w:b w:val="0"/>
          <w:bCs w:val="0"/>
          <w:lang w:val="en-US" w:eastAsia="zh-CN"/>
        </w:rPr>
      </w:pPr>
    </w:p>
    <w:p>
      <w:pPr>
        <w:widowControl w:val="0"/>
        <w:numPr>
          <w:ilvl w:val="0"/>
          <w:numId w:val="0"/>
        </w:numPr>
        <w:jc w:val="left"/>
      </w:pPr>
      <w:r>
        <w:drawing>
          <wp:inline distT="0" distB="0" distL="114300" distR="114300">
            <wp:extent cx="5272405" cy="2350770"/>
            <wp:effectExtent l="0" t="0" r="63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235077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eastAsia"/>
          <w:b w:val="0"/>
          <w:bCs w:val="0"/>
          <w:lang w:val="en-US" w:eastAsia="zh-CN"/>
        </w:rPr>
      </w:pPr>
      <w:r>
        <w:rPr>
          <w:rFonts w:hint="eastAsia"/>
          <w:b w:val="0"/>
          <w:bCs w:val="0"/>
          <w:lang w:val="en-US" w:eastAsia="zh-CN"/>
        </w:rPr>
        <w:t>消费50历史低位总共有4个区间，05年、08年、13年以及18年。</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历史高位在07年和15年，和股市总体走势吻合，底部不断抬升，指数点位是稳步增长的。极端行情也会出现暴跌。</w:t>
      </w:r>
    </w:p>
    <w:p>
      <w:pPr>
        <w:widowControl w:val="0"/>
        <w:numPr>
          <w:ilvl w:val="0"/>
          <w:numId w:val="0"/>
        </w:numPr>
        <w:jc w:val="left"/>
        <w:rPr>
          <w:rFonts w:hint="eastAsia"/>
          <w:b w:val="0"/>
          <w:bCs w:val="0"/>
          <w:lang w:val="en-US" w:eastAsia="zh-CN"/>
        </w:rPr>
      </w:pPr>
    </w:p>
    <w:p>
      <w:pPr>
        <w:widowControl w:val="0"/>
        <w:numPr>
          <w:ilvl w:val="0"/>
          <w:numId w:val="1"/>
        </w:numPr>
        <w:tabs>
          <w:tab w:val="left" w:pos="6925"/>
        </w:tabs>
        <w:jc w:val="left"/>
        <w:rPr>
          <w:rFonts w:hint="eastAsia"/>
          <w:b/>
          <w:bCs/>
          <w:lang w:val="en-US" w:eastAsia="zh-CN"/>
        </w:rPr>
      </w:pPr>
      <w:r>
        <w:rPr>
          <w:rFonts w:hint="eastAsia"/>
          <w:b/>
          <w:bCs/>
          <w:lang w:val="en-US" w:eastAsia="zh-CN"/>
        </w:rPr>
        <w:t>盈利分析</w:t>
      </w:r>
    </w:p>
    <w:p>
      <w:pPr>
        <w:widowControl w:val="0"/>
        <w:numPr>
          <w:ilvl w:val="0"/>
          <w:numId w:val="0"/>
        </w:numPr>
        <w:tabs>
          <w:tab w:val="left" w:pos="6925"/>
        </w:tabs>
        <w:jc w:val="left"/>
        <w:rPr>
          <w:rFonts w:hint="default"/>
          <w:b/>
          <w:bCs/>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目前很多消费企业的第一季报已经公布，无论是必须消费五粮液还是可选消费格力电器，第一季度净利润同比增长率都是下滑的，从既往数据分析盈利是下滑的。</w:t>
      </w:r>
    </w:p>
    <w:p>
      <w:pPr>
        <w:widowControl w:val="0"/>
        <w:numPr>
          <w:ilvl w:val="0"/>
          <w:numId w:val="0"/>
        </w:numPr>
        <w:jc w:val="left"/>
        <w:rPr>
          <w:rFonts w:hint="eastAsia"/>
          <w:b w:val="0"/>
          <w:bCs w:val="0"/>
          <w:lang w:val="en-US" w:eastAsia="zh-CN"/>
        </w:rPr>
      </w:pPr>
    </w:p>
    <w:p>
      <w:pPr>
        <w:widowControl w:val="0"/>
        <w:numPr>
          <w:ilvl w:val="0"/>
          <w:numId w:val="0"/>
        </w:numPr>
        <w:jc w:val="left"/>
      </w:pPr>
      <w:r>
        <w:drawing>
          <wp:inline distT="0" distB="0" distL="114300" distR="114300">
            <wp:extent cx="5274310" cy="2210435"/>
            <wp:effectExtent l="0" t="0" r="13970"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4310" cy="2210435"/>
                    </a:xfrm>
                    <a:prstGeom prst="rect">
                      <a:avLst/>
                    </a:prstGeom>
                    <a:noFill/>
                    <a:ln>
                      <a:noFill/>
                    </a:ln>
                  </pic:spPr>
                </pic:pic>
              </a:graphicData>
            </a:graphic>
          </wp:inline>
        </w:drawing>
      </w:r>
    </w:p>
    <w:p>
      <w:pPr>
        <w:widowControl w:val="0"/>
        <w:numPr>
          <w:ilvl w:val="0"/>
          <w:numId w:val="0"/>
        </w:numPr>
        <w:jc w:val="left"/>
        <w:rPr>
          <w:rFonts w:hint="default" w:eastAsiaTheme="minorEastAsia"/>
          <w:lang w:val="en-US" w:eastAsia="zh-CN"/>
        </w:rPr>
      </w:pPr>
      <w:r>
        <w:rPr>
          <w:rFonts w:hint="eastAsia"/>
          <w:lang w:val="en-US" w:eastAsia="zh-CN"/>
        </w:rPr>
        <w:t>Wind数据预测2020年的净利润将会是2476.97亿，同比增长50.35%，如果这个目标可以达到的话，今年消费指数的盈利将会是非常可观。</w:t>
      </w:r>
    </w:p>
    <w:p>
      <w:pPr>
        <w:widowControl w:val="0"/>
        <w:numPr>
          <w:ilvl w:val="0"/>
          <w:numId w:val="0"/>
        </w:numPr>
        <w:tabs>
          <w:tab w:val="left" w:pos="6925"/>
        </w:tabs>
        <w:jc w:val="left"/>
        <w:rPr>
          <w:rFonts w:hint="default"/>
          <w:b/>
          <w:bCs/>
          <w:lang w:val="en-US" w:eastAsia="zh-CN"/>
        </w:rPr>
      </w:pPr>
    </w:p>
    <w:p>
      <w:pPr>
        <w:widowControl w:val="0"/>
        <w:numPr>
          <w:ilvl w:val="0"/>
          <w:numId w:val="1"/>
        </w:numPr>
        <w:tabs>
          <w:tab w:val="left" w:pos="6925"/>
        </w:tabs>
        <w:jc w:val="left"/>
        <w:rPr>
          <w:rFonts w:hint="eastAsia"/>
          <w:b/>
          <w:bCs/>
          <w:lang w:val="en-US" w:eastAsia="zh-CN"/>
        </w:rPr>
      </w:pPr>
      <w:r>
        <w:rPr>
          <w:rFonts w:hint="eastAsia"/>
          <w:b/>
          <w:bCs/>
          <w:lang w:val="en-US" w:eastAsia="zh-CN"/>
        </w:rPr>
        <w:t>可选基金</w:t>
      </w:r>
    </w:p>
    <w:p>
      <w:pPr>
        <w:widowControl w:val="0"/>
        <w:numPr>
          <w:numId w:val="0"/>
        </w:numPr>
        <w:tabs>
          <w:tab w:val="left" w:pos="6925"/>
        </w:tabs>
        <w:jc w:val="left"/>
        <w:rPr>
          <w:rFonts w:hint="eastAsia"/>
          <w:b/>
          <w:bCs/>
          <w:lang w:val="en-US" w:eastAsia="zh-CN"/>
        </w:rPr>
      </w:pPr>
    </w:p>
    <w:p>
      <w:pPr>
        <w:widowControl w:val="0"/>
        <w:numPr>
          <w:numId w:val="0"/>
        </w:numPr>
        <w:tabs>
          <w:tab w:val="left" w:pos="6925"/>
        </w:tabs>
        <w:jc w:val="left"/>
        <w:rPr>
          <w:rFonts w:hint="default"/>
          <w:b w:val="0"/>
          <w:bCs w:val="0"/>
          <w:lang w:val="en-US" w:eastAsia="zh-CN"/>
        </w:rPr>
      </w:pPr>
      <w:r>
        <w:rPr>
          <w:rFonts w:hint="eastAsia"/>
          <w:b w:val="0"/>
          <w:bCs w:val="0"/>
          <w:lang w:val="en-US" w:eastAsia="zh-CN"/>
        </w:rPr>
        <w:t>目前市场上成立的消费50基金并不多，而且都是2020年新成立的，规模大概2亿元左右，可以先观察一段时间，如果有绝佳机会可以建立较小的头寸，没有机会的话不要轻易出手。</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D60585"/>
    <w:multiLevelType w:val="singleLevel"/>
    <w:tmpl w:val="C5D60585"/>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A9085D"/>
    <w:rsid w:val="02E239C4"/>
    <w:rsid w:val="03D20F1C"/>
    <w:rsid w:val="050B05EE"/>
    <w:rsid w:val="05F572F4"/>
    <w:rsid w:val="060A2C12"/>
    <w:rsid w:val="06DE69FD"/>
    <w:rsid w:val="0A2433EB"/>
    <w:rsid w:val="0AB4483A"/>
    <w:rsid w:val="0B4D50F4"/>
    <w:rsid w:val="0B5B7CE7"/>
    <w:rsid w:val="0C1B3529"/>
    <w:rsid w:val="0D6F73B1"/>
    <w:rsid w:val="0F5B5E53"/>
    <w:rsid w:val="11133FC1"/>
    <w:rsid w:val="127B6F55"/>
    <w:rsid w:val="13181180"/>
    <w:rsid w:val="13B6251C"/>
    <w:rsid w:val="1403364B"/>
    <w:rsid w:val="16474FFB"/>
    <w:rsid w:val="16735DE6"/>
    <w:rsid w:val="16E22FF1"/>
    <w:rsid w:val="18044F34"/>
    <w:rsid w:val="18935CCD"/>
    <w:rsid w:val="18CA2E90"/>
    <w:rsid w:val="1AD406FE"/>
    <w:rsid w:val="1BA67309"/>
    <w:rsid w:val="1DC616E2"/>
    <w:rsid w:val="21102ED8"/>
    <w:rsid w:val="231F0F56"/>
    <w:rsid w:val="23BF2345"/>
    <w:rsid w:val="23F9384E"/>
    <w:rsid w:val="258B6BAF"/>
    <w:rsid w:val="27570117"/>
    <w:rsid w:val="27E56093"/>
    <w:rsid w:val="27FA44DD"/>
    <w:rsid w:val="285113D3"/>
    <w:rsid w:val="2A12773C"/>
    <w:rsid w:val="2B953C31"/>
    <w:rsid w:val="2B9D5038"/>
    <w:rsid w:val="2BC841ED"/>
    <w:rsid w:val="2C9D1589"/>
    <w:rsid w:val="2CED20F9"/>
    <w:rsid w:val="2D0D0C57"/>
    <w:rsid w:val="2D1B06D2"/>
    <w:rsid w:val="2DC61C2F"/>
    <w:rsid w:val="2E8A5566"/>
    <w:rsid w:val="2F2040B1"/>
    <w:rsid w:val="313010B1"/>
    <w:rsid w:val="3203164E"/>
    <w:rsid w:val="324815D8"/>
    <w:rsid w:val="32984AAC"/>
    <w:rsid w:val="33DB6604"/>
    <w:rsid w:val="346F111F"/>
    <w:rsid w:val="37AE1B1D"/>
    <w:rsid w:val="380C111A"/>
    <w:rsid w:val="39F66875"/>
    <w:rsid w:val="3AB466C9"/>
    <w:rsid w:val="3ADB16FE"/>
    <w:rsid w:val="3BBF4ED4"/>
    <w:rsid w:val="3BC6515E"/>
    <w:rsid w:val="3CAE43BC"/>
    <w:rsid w:val="3D307F55"/>
    <w:rsid w:val="453C68FA"/>
    <w:rsid w:val="465F2C3E"/>
    <w:rsid w:val="476928AC"/>
    <w:rsid w:val="478E1C2A"/>
    <w:rsid w:val="483950BB"/>
    <w:rsid w:val="49183F21"/>
    <w:rsid w:val="4B9D5619"/>
    <w:rsid w:val="4D5915AF"/>
    <w:rsid w:val="4F0D709C"/>
    <w:rsid w:val="4F754F9E"/>
    <w:rsid w:val="4FC075C6"/>
    <w:rsid w:val="507F30EC"/>
    <w:rsid w:val="50850966"/>
    <w:rsid w:val="51BE16AB"/>
    <w:rsid w:val="51FB4D11"/>
    <w:rsid w:val="524328D5"/>
    <w:rsid w:val="52875F5D"/>
    <w:rsid w:val="553A454A"/>
    <w:rsid w:val="574C3BD9"/>
    <w:rsid w:val="582129D6"/>
    <w:rsid w:val="58D24D49"/>
    <w:rsid w:val="591052A3"/>
    <w:rsid w:val="59DD782B"/>
    <w:rsid w:val="5B175C74"/>
    <w:rsid w:val="5D45152F"/>
    <w:rsid w:val="5D600D9C"/>
    <w:rsid w:val="5DCA6590"/>
    <w:rsid w:val="5F580630"/>
    <w:rsid w:val="604F178D"/>
    <w:rsid w:val="60B0427A"/>
    <w:rsid w:val="63DC1350"/>
    <w:rsid w:val="64F73F82"/>
    <w:rsid w:val="65BB68D3"/>
    <w:rsid w:val="6B0241A0"/>
    <w:rsid w:val="6B6B0B33"/>
    <w:rsid w:val="6B9553D0"/>
    <w:rsid w:val="6DEF1BA2"/>
    <w:rsid w:val="6E7D1EAC"/>
    <w:rsid w:val="6FE33D56"/>
    <w:rsid w:val="70EB7F4F"/>
    <w:rsid w:val="72C41E3B"/>
    <w:rsid w:val="740D1F75"/>
    <w:rsid w:val="746D2EBF"/>
    <w:rsid w:val="76C66C31"/>
    <w:rsid w:val="784F5675"/>
    <w:rsid w:val="79FB14B1"/>
    <w:rsid w:val="7C044BD0"/>
    <w:rsid w:val="7C3E65C6"/>
    <w:rsid w:val="7CA6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2</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2020-05-05T12:36:07Z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