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这些基金是大坑，不要碰</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r>
        <w:rPr>
          <w:rFonts w:hint="eastAsia" w:ascii="仿宋" w:hAnsi="仿宋" w:eastAsia="仿宋"/>
          <w:b w:val="0"/>
          <w:bCs w:val="0"/>
          <w:sz w:val="26"/>
          <w:szCs w:val="26"/>
          <w:lang w:val="en-US" w:eastAsia="zh-CN"/>
        </w:rPr>
        <w:t>昨天讲了一些优先布局的基金，今天二师父说几个比较坑的基金，千万不要碰。</w:t>
      </w:r>
    </w:p>
    <w:p>
      <w:pPr>
        <w:widowControl w:val="0"/>
        <w:numPr>
          <w:ilvl w:val="0"/>
          <w:numId w:val="0"/>
        </w:numPr>
        <w:jc w:val="left"/>
        <w:rPr>
          <w:rFonts w:hint="eastAsia" w:ascii="仿宋" w:hAnsi="仿宋" w:eastAsia="仿宋"/>
          <w:b w:val="0"/>
          <w:bCs w:val="0"/>
          <w:color w:val="0000FF"/>
          <w:sz w:val="26"/>
          <w:szCs w:val="26"/>
          <w:lang w:val="en-US" w:eastAsia="zh-CN"/>
        </w:rPr>
      </w:pP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1、半导体</w:t>
      </w:r>
    </w:p>
    <w:p>
      <w:pPr>
        <w:widowControl w:val="0"/>
        <w:numPr>
          <w:ilvl w:val="0"/>
          <w:numId w:val="0"/>
        </w:numPr>
        <w:jc w:val="left"/>
        <w:rPr>
          <w:rFonts w:hint="eastAsia" w:ascii="仿宋" w:hAnsi="仿宋" w:eastAsia="仿宋"/>
          <w:b/>
          <w:bCs/>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半导体指数有很多，主要有半导体50和中证全指半导体，本质差别不大，都是选取与半导体产品相关的行业股票组成。</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二师父分析过半导体行业的投资价值，这是硬核科技，尤其是华为现在依靠自主研究芯片形成自己的核心竞争优势，加速推进半导体等国产替代。半导体仍然是未来科技的方向。</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投资有两种理论，这个二师父在漫步华尔街这本书的讲解中已经说过，投资者在投资具体股票或者指数的时候一方面需要考虑他的价值和价格的关系，另外一方面才是考虑市场预期。</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尽管现在半导体的呼声很高，市场对他的预期也很好，可是他的估值太高，高达100倍市盈率的指数需要投资者为同等的价值支付更多的成本，这种指数的投资已经属于搏傻范畴了。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如果你不懂，二师父讲一只2015年被炒上天的股票，全通教育，当时股价涨到了60多元，市盈率1000多倍，那些疯狂投机的朋友最终都无法幸免于难。</w:t>
      </w:r>
    </w:p>
    <w:p>
      <w:pPr>
        <w:widowControl w:val="0"/>
        <w:numPr>
          <w:ilvl w:val="0"/>
          <w:numId w:val="0"/>
        </w:numPr>
        <w:jc w:val="left"/>
        <w:rPr>
          <w:rFonts w:hint="eastAsia"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树不会涨到天上去，股票和指数也一样，任何基金都不要买贵了。所以半导体要远离。</w:t>
      </w: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2、华宝油气</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华宝油气追踪的是标普石油天然气指数，这个指数里面全部是美国的油气类公司，二师父看了看他们的基本面，这些公司都处于经营困境。</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最近沙特和俄罗斯降价增产石油为了打击美国的页岩油公司，导致美国压力很大，这些油气公司受到了重挫。不同于中国，我们的成品油价限价至少是40美元，即使原油跌到了25美元，国内的原油价格也不能是25美元，这是为了保护国内的石油开采公司。</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而美国的应对措施就显然不足，所以当前油气也是表现糟糕。有的投资者喜欢追涨，投资半导体类的指数，而有的投资者喜欢追跌，摊低成本。</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bCs/>
          <w:color w:val="0000FF"/>
          <w:sz w:val="26"/>
          <w:szCs w:val="26"/>
          <w:lang w:val="en-US" w:eastAsia="zh-CN"/>
        </w:rPr>
        <w:t>这些思维都是固化的，对于一个基本面已经恶化的指数，是需要避免的。这就是投资单一行业指数的风险，比如白酒指数，如果遭遇了行业风险，下跌也是很厉害。投资者固定的思维模式很容易入坑。</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1"/>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已经投资的朋友怎么办</w:t>
      </w:r>
    </w:p>
    <w:p>
      <w:pPr>
        <w:widowControl w:val="0"/>
        <w:numPr>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如果之前买入了这两个品种，现在出现了亏损，那么只有等待指数反转的时候在保本或者少亏的情况下出了。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投资过程中交学费是很正常的，先你是用钱换经验，未来你的投资经验越来越丰富，就知道哪些是机会，哪些是风险，然后就可以用经验换钱了。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只是在学习上交的学费多点的人，在市场交的学费会少一点，不过不管怎样，都是无可避免的，每一次交易都是对自己的提升和锻炼，不断打卡学习总结，那么未来投资就会做的越来越好，赚的越来越多，亏的越来越少。</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D844A"/>
    <w:multiLevelType w:val="singleLevel"/>
    <w:tmpl w:val="BE4D844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1B4"/>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1DF5FBF"/>
    <w:rsid w:val="0279690E"/>
    <w:rsid w:val="02C26C89"/>
    <w:rsid w:val="0351604A"/>
    <w:rsid w:val="04E73B55"/>
    <w:rsid w:val="05307908"/>
    <w:rsid w:val="05416107"/>
    <w:rsid w:val="054B090C"/>
    <w:rsid w:val="056A0B0F"/>
    <w:rsid w:val="058030D1"/>
    <w:rsid w:val="05906F05"/>
    <w:rsid w:val="05A4687D"/>
    <w:rsid w:val="068854FD"/>
    <w:rsid w:val="069B4B97"/>
    <w:rsid w:val="071D0A33"/>
    <w:rsid w:val="07FF262B"/>
    <w:rsid w:val="082E7EAC"/>
    <w:rsid w:val="08C963EF"/>
    <w:rsid w:val="09CC08E3"/>
    <w:rsid w:val="0A341C9F"/>
    <w:rsid w:val="0A5848E3"/>
    <w:rsid w:val="0A5D03AB"/>
    <w:rsid w:val="0A6C551C"/>
    <w:rsid w:val="0A972BAF"/>
    <w:rsid w:val="0B4C0730"/>
    <w:rsid w:val="0B6328AF"/>
    <w:rsid w:val="0CBF52FE"/>
    <w:rsid w:val="0CF85BB4"/>
    <w:rsid w:val="0D46243F"/>
    <w:rsid w:val="0DBD2B31"/>
    <w:rsid w:val="0E156980"/>
    <w:rsid w:val="0E512ED5"/>
    <w:rsid w:val="0E5A4B34"/>
    <w:rsid w:val="0E784C34"/>
    <w:rsid w:val="0EFE1333"/>
    <w:rsid w:val="0F894BF3"/>
    <w:rsid w:val="0F972F6F"/>
    <w:rsid w:val="100B5DF6"/>
    <w:rsid w:val="115D1FA6"/>
    <w:rsid w:val="116E4FB7"/>
    <w:rsid w:val="11837645"/>
    <w:rsid w:val="11900AD7"/>
    <w:rsid w:val="11B61D69"/>
    <w:rsid w:val="13503064"/>
    <w:rsid w:val="135E5207"/>
    <w:rsid w:val="13735F01"/>
    <w:rsid w:val="1445349B"/>
    <w:rsid w:val="149C638F"/>
    <w:rsid w:val="15F248A7"/>
    <w:rsid w:val="16147482"/>
    <w:rsid w:val="169914EE"/>
    <w:rsid w:val="172A5D87"/>
    <w:rsid w:val="17724947"/>
    <w:rsid w:val="180009E7"/>
    <w:rsid w:val="182C155F"/>
    <w:rsid w:val="18703140"/>
    <w:rsid w:val="18787C52"/>
    <w:rsid w:val="190E2A9A"/>
    <w:rsid w:val="1973547B"/>
    <w:rsid w:val="19DB7CF7"/>
    <w:rsid w:val="1A1F7F18"/>
    <w:rsid w:val="1A480AE6"/>
    <w:rsid w:val="1B0E684D"/>
    <w:rsid w:val="1C3E0032"/>
    <w:rsid w:val="1C6407D4"/>
    <w:rsid w:val="1C690F31"/>
    <w:rsid w:val="1C7B4D51"/>
    <w:rsid w:val="1C902976"/>
    <w:rsid w:val="1FBB128C"/>
    <w:rsid w:val="201F10E6"/>
    <w:rsid w:val="20D84576"/>
    <w:rsid w:val="21513DFE"/>
    <w:rsid w:val="21C95454"/>
    <w:rsid w:val="21E278BD"/>
    <w:rsid w:val="22AE2CFD"/>
    <w:rsid w:val="236B4399"/>
    <w:rsid w:val="23976420"/>
    <w:rsid w:val="240E562D"/>
    <w:rsid w:val="24686266"/>
    <w:rsid w:val="24BE564F"/>
    <w:rsid w:val="251C6DA7"/>
    <w:rsid w:val="25C03879"/>
    <w:rsid w:val="26040693"/>
    <w:rsid w:val="26160C58"/>
    <w:rsid w:val="270A1DD0"/>
    <w:rsid w:val="2799782F"/>
    <w:rsid w:val="27AD6B16"/>
    <w:rsid w:val="27B50ACC"/>
    <w:rsid w:val="28347C59"/>
    <w:rsid w:val="295E2EE8"/>
    <w:rsid w:val="2B3A38E0"/>
    <w:rsid w:val="2B8110C1"/>
    <w:rsid w:val="2BE13952"/>
    <w:rsid w:val="2CA43C95"/>
    <w:rsid w:val="2D0048C2"/>
    <w:rsid w:val="2D1E0535"/>
    <w:rsid w:val="2DD711CC"/>
    <w:rsid w:val="2E117557"/>
    <w:rsid w:val="2E6D101C"/>
    <w:rsid w:val="2E6E2EB0"/>
    <w:rsid w:val="2EC274E7"/>
    <w:rsid w:val="2EEB63A8"/>
    <w:rsid w:val="2F200A98"/>
    <w:rsid w:val="2FCB6351"/>
    <w:rsid w:val="2FFF36DC"/>
    <w:rsid w:val="309C73BE"/>
    <w:rsid w:val="310B5A40"/>
    <w:rsid w:val="32F40E0F"/>
    <w:rsid w:val="33CF14F3"/>
    <w:rsid w:val="342C1F18"/>
    <w:rsid w:val="34446DA2"/>
    <w:rsid w:val="345D023C"/>
    <w:rsid w:val="34ED03A9"/>
    <w:rsid w:val="35867DFB"/>
    <w:rsid w:val="35E36959"/>
    <w:rsid w:val="36274243"/>
    <w:rsid w:val="36C260FE"/>
    <w:rsid w:val="37CA592A"/>
    <w:rsid w:val="38087063"/>
    <w:rsid w:val="397B4252"/>
    <w:rsid w:val="39BF2DFA"/>
    <w:rsid w:val="39EE6245"/>
    <w:rsid w:val="3A1C172F"/>
    <w:rsid w:val="3AE70FE0"/>
    <w:rsid w:val="3BCE5B46"/>
    <w:rsid w:val="3BE7476F"/>
    <w:rsid w:val="3C223ADA"/>
    <w:rsid w:val="3C606E84"/>
    <w:rsid w:val="3CDD60D7"/>
    <w:rsid w:val="3D034A46"/>
    <w:rsid w:val="3D602544"/>
    <w:rsid w:val="3D753DCC"/>
    <w:rsid w:val="3DB90E1A"/>
    <w:rsid w:val="3E010D18"/>
    <w:rsid w:val="3E521E82"/>
    <w:rsid w:val="3ECA6E51"/>
    <w:rsid w:val="3F3257DF"/>
    <w:rsid w:val="3FB43CF6"/>
    <w:rsid w:val="3FEA0690"/>
    <w:rsid w:val="4103501F"/>
    <w:rsid w:val="41C7556C"/>
    <w:rsid w:val="453C6975"/>
    <w:rsid w:val="45582111"/>
    <w:rsid w:val="46231B8B"/>
    <w:rsid w:val="462C7A30"/>
    <w:rsid w:val="46BD3A17"/>
    <w:rsid w:val="46E13DEF"/>
    <w:rsid w:val="4758464A"/>
    <w:rsid w:val="47934A85"/>
    <w:rsid w:val="487557B8"/>
    <w:rsid w:val="497F16D1"/>
    <w:rsid w:val="49BE6E8F"/>
    <w:rsid w:val="4A8E3D14"/>
    <w:rsid w:val="4AB660FA"/>
    <w:rsid w:val="4B8719CB"/>
    <w:rsid w:val="4B8B20EF"/>
    <w:rsid w:val="4C2C1055"/>
    <w:rsid w:val="4C4D1971"/>
    <w:rsid w:val="4C6719E5"/>
    <w:rsid w:val="4C855653"/>
    <w:rsid w:val="4D1E6F6B"/>
    <w:rsid w:val="4D3D0CC9"/>
    <w:rsid w:val="4D96693C"/>
    <w:rsid w:val="4E991AFE"/>
    <w:rsid w:val="4F5E16C6"/>
    <w:rsid w:val="4FC172B4"/>
    <w:rsid w:val="504B330F"/>
    <w:rsid w:val="50B8169C"/>
    <w:rsid w:val="5185222A"/>
    <w:rsid w:val="52285117"/>
    <w:rsid w:val="525820D3"/>
    <w:rsid w:val="533D431D"/>
    <w:rsid w:val="534B456C"/>
    <w:rsid w:val="537E201C"/>
    <w:rsid w:val="54097D2B"/>
    <w:rsid w:val="541D5E1E"/>
    <w:rsid w:val="546875F0"/>
    <w:rsid w:val="54A67803"/>
    <w:rsid w:val="54F30284"/>
    <w:rsid w:val="55430EF4"/>
    <w:rsid w:val="55C051B8"/>
    <w:rsid w:val="563E5D22"/>
    <w:rsid w:val="568D6FE0"/>
    <w:rsid w:val="57300CD3"/>
    <w:rsid w:val="57376E35"/>
    <w:rsid w:val="57630DC6"/>
    <w:rsid w:val="576F3008"/>
    <w:rsid w:val="5803453F"/>
    <w:rsid w:val="580A39C0"/>
    <w:rsid w:val="59235A2C"/>
    <w:rsid w:val="5A37545A"/>
    <w:rsid w:val="5A4F2987"/>
    <w:rsid w:val="5A587379"/>
    <w:rsid w:val="5AA302A6"/>
    <w:rsid w:val="5B4659F0"/>
    <w:rsid w:val="5C1F7B63"/>
    <w:rsid w:val="5C707AB9"/>
    <w:rsid w:val="5D117DC5"/>
    <w:rsid w:val="5DAA5E31"/>
    <w:rsid w:val="5E455DB0"/>
    <w:rsid w:val="5ED72EC7"/>
    <w:rsid w:val="5EDE07E5"/>
    <w:rsid w:val="5F3D5247"/>
    <w:rsid w:val="5FA16DBC"/>
    <w:rsid w:val="5FF05621"/>
    <w:rsid w:val="61007F16"/>
    <w:rsid w:val="613A1299"/>
    <w:rsid w:val="618C587F"/>
    <w:rsid w:val="61FD74A4"/>
    <w:rsid w:val="62162861"/>
    <w:rsid w:val="62631346"/>
    <w:rsid w:val="62C64723"/>
    <w:rsid w:val="63BB75F4"/>
    <w:rsid w:val="63C671B5"/>
    <w:rsid w:val="63D70D05"/>
    <w:rsid w:val="6417169F"/>
    <w:rsid w:val="64497409"/>
    <w:rsid w:val="64FC0073"/>
    <w:rsid w:val="652C6332"/>
    <w:rsid w:val="655C738A"/>
    <w:rsid w:val="665A0E75"/>
    <w:rsid w:val="665F12E2"/>
    <w:rsid w:val="666639DC"/>
    <w:rsid w:val="66692401"/>
    <w:rsid w:val="666A592B"/>
    <w:rsid w:val="677F04CA"/>
    <w:rsid w:val="679B6B79"/>
    <w:rsid w:val="68006029"/>
    <w:rsid w:val="68AE4EFD"/>
    <w:rsid w:val="68DA7061"/>
    <w:rsid w:val="69706123"/>
    <w:rsid w:val="6A4335CF"/>
    <w:rsid w:val="6AEB4080"/>
    <w:rsid w:val="6BB81A38"/>
    <w:rsid w:val="6BBF576B"/>
    <w:rsid w:val="6C9F088A"/>
    <w:rsid w:val="6CCE3CD4"/>
    <w:rsid w:val="6D545B0B"/>
    <w:rsid w:val="70177396"/>
    <w:rsid w:val="7169075D"/>
    <w:rsid w:val="71E666B0"/>
    <w:rsid w:val="71F24C2F"/>
    <w:rsid w:val="725D29C1"/>
    <w:rsid w:val="73306F2B"/>
    <w:rsid w:val="736137AC"/>
    <w:rsid w:val="73964DB7"/>
    <w:rsid w:val="73A10864"/>
    <w:rsid w:val="73B82CFF"/>
    <w:rsid w:val="741036DE"/>
    <w:rsid w:val="742C063F"/>
    <w:rsid w:val="754D15E1"/>
    <w:rsid w:val="75512B13"/>
    <w:rsid w:val="77A37E0F"/>
    <w:rsid w:val="78C03C82"/>
    <w:rsid w:val="79174E4E"/>
    <w:rsid w:val="79E4201C"/>
    <w:rsid w:val="7A1A22E4"/>
    <w:rsid w:val="7A78757D"/>
    <w:rsid w:val="7A791F94"/>
    <w:rsid w:val="7AA32AF2"/>
    <w:rsid w:val="7AD6317E"/>
    <w:rsid w:val="7B46360C"/>
    <w:rsid w:val="7B6F5C81"/>
    <w:rsid w:val="7C2245AF"/>
    <w:rsid w:val="7CCC7E8D"/>
    <w:rsid w:val="7CE936D5"/>
    <w:rsid w:val="7D7737C9"/>
    <w:rsid w:val="7E0D0216"/>
    <w:rsid w:val="7E143640"/>
    <w:rsid w:val="7EF54E79"/>
    <w:rsid w:val="7EF65555"/>
    <w:rsid w:val="7F310EC4"/>
    <w:rsid w:val="7F512E59"/>
    <w:rsid w:val="7FA257ED"/>
    <w:rsid w:val="7FAB770A"/>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9</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2020-03-20T07:37:57Z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