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一款适合大众的稳健基金组合</w:t>
      </w:r>
    </w:p>
    <w:p>
      <w:pPr>
        <w:jc w:val="center"/>
        <w:rPr>
          <w:rFonts w:ascii="仿宋" w:hAnsi="仿宋" w:eastAsia="仿宋"/>
          <w:b/>
          <w:szCs w:val="21"/>
        </w:rPr>
      </w:pPr>
    </w:p>
    <w:p>
      <w:pPr>
        <w:jc w:val="center"/>
      </w:pPr>
      <w:r>
        <w:rPr>
          <w:rFonts w:hint="eastAsia" w:ascii="仿宋" w:hAnsi="仿宋" w:eastAsia="仿宋"/>
          <w:b/>
          <w:szCs w:val="21"/>
        </w:rPr>
        <w:t>作者</w:t>
      </w:r>
      <w:r>
        <w:rPr>
          <w:rFonts w:hint="eastAsia" w:ascii="仿宋" w:hAnsi="仿宋" w:eastAsia="仿宋"/>
          <w:b/>
          <w:szCs w:val="21"/>
          <w:lang w:eastAsia="zh-CN"/>
        </w:rPr>
        <w:t>：</w:t>
      </w:r>
      <w:r>
        <w:rPr>
          <w:rFonts w:hint="eastAsia" w:ascii="仿宋" w:hAnsi="仿宋" w:eastAsia="仿宋"/>
          <w:b/>
          <w:szCs w:val="21"/>
          <w:lang w:val="en-US" w:eastAsia="zh-CN"/>
        </w:rPr>
        <w:t>二师父</w:t>
      </w:r>
    </w:p>
    <w:p>
      <w:pPr>
        <w:jc w:val="left"/>
      </w:pPr>
    </w:p>
    <w:p>
      <w:pPr>
        <w:jc w:val="left"/>
        <w:rPr>
          <w:rFonts w:hint="eastAsia"/>
          <w:lang w:val="en-US" w:eastAsia="zh-CN"/>
        </w:rPr>
      </w:pPr>
      <w:r>
        <w:rPr>
          <w:rFonts w:hint="eastAsia"/>
          <w:lang w:val="en-US" w:eastAsia="zh-CN"/>
        </w:rPr>
        <w:t>在投资过程中，盈亏是同源的，无论是回撤控制型基金经理，还是不控回撤的基金经理，都有自己独特的投资体系。</w:t>
      </w:r>
    </w:p>
    <w:p>
      <w:pPr>
        <w:jc w:val="left"/>
        <w:rPr>
          <w:rFonts w:hint="eastAsia"/>
          <w:lang w:val="en-US" w:eastAsia="zh-CN"/>
        </w:rPr>
      </w:pPr>
    </w:p>
    <w:p>
      <w:pPr>
        <w:jc w:val="left"/>
        <w:rPr>
          <w:rFonts w:hint="eastAsia"/>
          <w:b/>
          <w:bCs/>
          <w:lang w:val="en-US" w:eastAsia="zh-CN"/>
        </w:rPr>
      </w:pPr>
      <w:r>
        <w:rPr>
          <w:rFonts w:hint="eastAsia"/>
          <w:b/>
          <w:bCs/>
          <w:lang w:val="en-US" w:eastAsia="zh-CN"/>
        </w:rPr>
        <w:t>比如兴全的董承非就是典型的风控型基金经理，历史回撤非常低，运行基金表现也相对稳健；而与之相对的中欧葛兰经理对回撤的控制就不是特别关注，真正是淡化择时，长期持有优质医疗企业，任他市场大跌依然不动如山。</w:t>
      </w:r>
    </w:p>
    <w:p>
      <w:pPr>
        <w:jc w:val="left"/>
        <w:rPr>
          <w:rFonts w:hint="eastAsia"/>
          <w:lang w:val="en-US" w:eastAsia="zh-CN"/>
        </w:rPr>
      </w:pPr>
    </w:p>
    <w:p>
      <w:pPr>
        <w:jc w:val="left"/>
        <w:rPr>
          <w:rFonts w:hint="eastAsia"/>
          <w:lang w:val="en-US" w:eastAsia="zh-CN"/>
        </w:rPr>
      </w:pPr>
      <w:r>
        <w:rPr>
          <w:rFonts w:hint="eastAsia"/>
          <w:lang w:val="en-US" w:eastAsia="zh-CN"/>
        </w:rPr>
        <w:t>到底哪种好，没有定论，适合自己的才是最合适的。按照自己的风险偏好进行投资，有的人经历50%的回撤依然很淡定，而有的人经历5%的回撤就感觉世界坍塌，不同的性格、收入水平、过往经历都会对同样的跌幅产生不一样的感受。</w:t>
      </w:r>
    </w:p>
    <w:p>
      <w:pPr>
        <w:jc w:val="left"/>
        <w:rPr>
          <w:rFonts w:hint="eastAsia"/>
          <w:lang w:val="en-US" w:eastAsia="zh-CN"/>
        </w:rPr>
      </w:pPr>
    </w:p>
    <w:p>
      <w:pPr>
        <w:jc w:val="left"/>
        <w:rPr>
          <w:rFonts w:hint="eastAsia"/>
          <w:lang w:val="en-US" w:eastAsia="zh-CN"/>
        </w:rPr>
      </w:pPr>
      <w:r>
        <w:rPr>
          <w:rFonts w:hint="eastAsia"/>
          <w:lang w:val="en-US" w:eastAsia="zh-CN"/>
        </w:rPr>
        <w:t>之前鳄鱼计划和乌龟计划均属于风险偏好较高的投资组合，除了市场趋势反转，一般都是高仓位运行，波动也较大，最大回撤分别控制在25%和30%以内，虽然乌龟计划目前回撤控制在15%以内，但是对于追求稳健收益的投资者而言难以接受。</w:t>
      </w:r>
    </w:p>
    <w:p>
      <w:pPr>
        <w:jc w:val="left"/>
        <w:rPr>
          <w:rFonts w:hint="eastAsia"/>
          <w:lang w:val="en-US" w:eastAsia="zh-CN"/>
        </w:rPr>
      </w:pPr>
    </w:p>
    <w:p>
      <w:pPr>
        <w:jc w:val="left"/>
        <w:rPr>
          <w:rFonts w:hint="eastAsia"/>
          <w:b/>
          <w:bCs/>
          <w:lang w:val="en-US" w:eastAsia="zh-CN"/>
        </w:rPr>
      </w:pPr>
      <w:r>
        <w:rPr>
          <w:rFonts w:hint="eastAsia"/>
          <w:b/>
          <w:bCs/>
          <w:lang w:val="en-US" w:eastAsia="zh-CN"/>
        </w:rPr>
        <w:t>在当下市场环境，已经不适合大举进攻指数基金，尤其是新能源、白酒等估值高位的指数。而通胀预期并不高，股债双杀概率相对较小，对于投资者仍旧有投资需求可以投资这个安心组合。</w:t>
      </w:r>
    </w:p>
    <w:p>
      <w:pPr>
        <w:jc w:val="left"/>
        <w:rPr>
          <w:rFonts w:hint="eastAsia"/>
          <w:lang w:val="en-US" w:eastAsia="zh-CN"/>
        </w:rPr>
      </w:pPr>
    </w:p>
    <w:p>
      <w:pPr>
        <w:jc w:val="left"/>
        <w:rPr>
          <w:rFonts w:hint="default"/>
          <w:b/>
          <w:bCs/>
          <w:lang w:val="en-US" w:eastAsia="zh-CN"/>
        </w:rPr>
      </w:pPr>
      <w:r>
        <w:rPr>
          <w:rFonts w:hint="eastAsia"/>
          <w:b/>
          <w:bCs/>
          <w:lang w:val="en-US" w:eastAsia="zh-CN"/>
        </w:rPr>
        <w:t>1、安心组合投资标的</w:t>
      </w:r>
    </w:p>
    <w:p>
      <w:pPr>
        <w:jc w:val="left"/>
        <w:rPr>
          <w:rFonts w:hint="eastAsia"/>
          <w:lang w:val="en-US" w:eastAsia="zh-CN"/>
        </w:rPr>
      </w:pPr>
    </w:p>
    <w:p>
      <w:pPr>
        <w:jc w:val="left"/>
        <w:rPr>
          <w:rFonts w:hint="eastAsia"/>
          <w:lang w:val="en-US" w:eastAsia="zh-CN"/>
        </w:rPr>
      </w:pPr>
      <w:r>
        <w:rPr>
          <w:rFonts w:hint="eastAsia"/>
          <w:lang w:val="en-US" w:eastAsia="zh-CN"/>
        </w:rPr>
        <w:t>大摩双利增强债券、招商产业债券、安信稳健增值混合、南方宝元债、兴全趋势、工银瑞信双利债券、广发稳健增长混合、易方达增强回报债。</w:t>
      </w:r>
    </w:p>
    <w:p>
      <w:pPr>
        <w:jc w:val="left"/>
        <w:rPr>
          <w:rFonts w:hint="eastAsia"/>
          <w:lang w:val="en-US" w:eastAsia="zh-CN"/>
        </w:rPr>
      </w:pPr>
    </w:p>
    <w:p>
      <w:pPr>
        <w:jc w:val="left"/>
        <w:rPr>
          <w:rFonts w:hint="eastAsia"/>
          <w:lang w:val="en-US" w:eastAsia="zh-CN"/>
        </w:rPr>
      </w:pPr>
      <w:r>
        <w:rPr>
          <w:rFonts w:hint="eastAsia"/>
          <w:b/>
          <w:bCs/>
          <w:lang w:val="en-US" w:eastAsia="zh-CN"/>
        </w:rPr>
        <w:t>大摩双利增强债券</w:t>
      </w:r>
      <w:r>
        <w:rPr>
          <w:rFonts w:hint="eastAsia"/>
          <w:lang w:val="en-US" w:eastAsia="zh-CN"/>
        </w:rPr>
        <w:t>：从2016年开始，本基金连续6年跑赢上证国债，收益稳健，近一年最大回撤大约0.76%，低于长期纯债最大回撤1.9%。</w:t>
      </w:r>
    </w:p>
    <w:p>
      <w:pPr>
        <w:jc w:val="left"/>
        <w:rPr>
          <w:rFonts w:hint="eastAsia"/>
          <w:lang w:val="en-US" w:eastAsia="zh-CN"/>
        </w:rPr>
      </w:pPr>
    </w:p>
    <w:p>
      <w:pPr>
        <w:jc w:val="left"/>
        <w:rPr>
          <w:rFonts w:hint="eastAsia"/>
          <w:lang w:val="en-US" w:eastAsia="zh-CN"/>
        </w:rPr>
      </w:pPr>
      <w:r>
        <w:rPr>
          <w:rFonts w:hint="eastAsia"/>
          <w:lang w:val="en-US" w:eastAsia="zh-CN"/>
        </w:rPr>
        <w:t>基金经理张雪女士:中央财经大学国际金融学硕士,美国特许金融分析师(CFA)。曾任职于北京银行股份有限公司资金交易部,历任交易员、投资经理。2014年11月加入摩根士丹利华鑫基金管理有限公司。</w:t>
      </w:r>
    </w:p>
    <w:p>
      <w:pPr>
        <w:jc w:val="left"/>
        <w:rPr>
          <w:rFonts w:hint="eastAsia"/>
          <w:lang w:val="en-US" w:eastAsia="zh-CN"/>
        </w:rPr>
      </w:pPr>
    </w:p>
    <w:p>
      <w:pPr>
        <w:jc w:val="left"/>
        <w:rPr>
          <w:rFonts w:hint="eastAsia"/>
          <w:lang w:val="en-US" w:eastAsia="zh-CN"/>
        </w:rPr>
      </w:pPr>
      <w:r>
        <w:rPr>
          <w:rFonts w:hint="eastAsia"/>
          <w:lang w:val="en-US" w:eastAsia="zh-CN"/>
        </w:rPr>
        <w:t>从基金经理过往历史回撤分析，最大回撤控制在6%以内，这是基金经理管理所有基金的最大回撤，非本基金最大回撤。大摩双利增强债券最大回撤控制在1.35%以内，唯一的劣势在于管理基金规模相对较低，需要长期跟踪基金规模变动。</w:t>
      </w:r>
    </w:p>
    <w:p>
      <w:pPr>
        <w:jc w:val="left"/>
        <w:rPr>
          <w:rFonts w:hint="eastAsia"/>
          <w:lang w:val="en-US" w:eastAsia="zh-CN"/>
        </w:rPr>
      </w:pPr>
    </w:p>
    <w:p>
      <w:pPr>
        <w:jc w:val="left"/>
        <w:rPr>
          <w:rFonts w:hint="eastAsia"/>
          <w:lang w:val="en-US" w:eastAsia="zh-CN"/>
        </w:rPr>
      </w:pPr>
      <w:r>
        <w:rPr>
          <w:rFonts w:hint="eastAsia"/>
          <w:lang w:val="en-US" w:eastAsia="zh-CN"/>
        </w:rPr>
        <w:t>当前基金规模26.03亿，规模适中。</w:t>
      </w:r>
    </w:p>
    <w:p>
      <w:pPr>
        <w:jc w:val="left"/>
        <w:rPr>
          <w:rFonts w:hint="eastAsia"/>
          <w:lang w:val="en-US" w:eastAsia="zh-CN"/>
        </w:rPr>
      </w:pPr>
    </w:p>
    <w:p>
      <w:pPr>
        <w:jc w:val="left"/>
        <w:rPr>
          <w:rFonts w:hint="eastAsia"/>
          <w:lang w:val="en-US" w:eastAsia="zh-CN"/>
        </w:rPr>
      </w:pPr>
      <w:r>
        <w:rPr>
          <w:rFonts w:hint="eastAsia"/>
          <w:b/>
          <w:bCs/>
          <w:lang w:val="en-US" w:eastAsia="zh-CN"/>
        </w:rPr>
        <w:t>招商产业债券</w:t>
      </w:r>
      <w:r>
        <w:rPr>
          <w:rFonts w:hint="eastAsia"/>
          <w:lang w:val="en-US" w:eastAsia="zh-CN"/>
        </w:rPr>
        <w:t>：属于混合债券型基金里面的一级债基，从2016年以来也是连续6年跑赢上证国债，近一年最大回撤1.38%，低于同类一级债基3.58%。</w:t>
      </w:r>
    </w:p>
    <w:p>
      <w:pPr>
        <w:jc w:val="left"/>
        <w:rPr>
          <w:rFonts w:hint="eastAsia"/>
          <w:lang w:val="en-US" w:eastAsia="zh-CN"/>
        </w:rPr>
      </w:pPr>
    </w:p>
    <w:p>
      <w:pPr>
        <w:jc w:val="left"/>
        <w:rPr>
          <w:rFonts w:hint="eastAsia"/>
          <w:lang w:val="en-US" w:eastAsia="zh-CN"/>
        </w:rPr>
      </w:pPr>
      <w:r>
        <w:rPr>
          <w:rFonts w:hint="eastAsia"/>
          <w:lang w:val="en-US" w:eastAsia="zh-CN"/>
        </w:rPr>
        <w:t>这只基金当前持仓全部为债券，而实际上投资原则规定产业债投资比例不低于固定收益资产的80%，也就是产业债在总体投资里面占比要大于等于80%。股票、权证等权益资产投资比例不得高于基金资产的20%。这只基金是可以投资股票的。</w:t>
      </w:r>
    </w:p>
    <w:p>
      <w:pPr>
        <w:jc w:val="left"/>
        <w:rPr>
          <w:rFonts w:hint="eastAsia"/>
          <w:lang w:val="en-US" w:eastAsia="zh-CN"/>
        </w:rPr>
      </w:pPr>
    </w:p>
    <w:p>
      <w:pPr>
        <w:jc w:val="left"/>
        <w:rPr>
          <w:rFonts w:hint="eastAsia"/>
          <w:lang w:val="en-US" w:eastAsia="zh-CN"/>
        </w:rPr>
      </w:pPr>
      <w:r>
        <w:rPr>
          <w:rFonts w:hint="eastAsia"/>
          <w:b/>
          <w:bCs/>
          <w:lang w:val="en-US" w:eastAsia="zh-CN"/>
        </w:rPr>
        <w:t>基金经理</w:t>
      </w:r>
      <w:r>
        <w:rPr>
          <w:rFonts w:hint="eastAsia"/>
          <w:lang w:val="en-US" w:eastAsia="zh-CN"/>
        </w:rPr>
        <w:t>：马龙先生:经济学博士。2009年7月加入泰达宏利基金管理有限公司,任研究员,从事宏观经济、债券市场策略、股票市场策略研究工作,2012年11月加入招商基金管理有限公司固定收益投资部,曾任研究员。目前是招商基金固定收益投资部副总监。</w:t>
      </w:r>
    </w:p>
    <w:p>
      <w:pPr>
        <w:jc w:val="left"/>
        <w:rPr>
          <w:rFonts w:hint="eastAsia"/>
          <w:lang w:val="en-US" w:eastAsia="zh-CN"/>
        </w:rPr>
      </w:pPr>
    </w:p>
    <w:p>
      <w:pPr>
        <w:jc w:val="left"/>
        <w:rPr>
          <w:rFonts w:hint="eastAsia"/>
          <w:lang w:val="en-US" w:eastAsia="zh-CN"/>
        </w:rPr>
      </w:pPr>
      <w:r>
        <w:rPr>
          <w:rFonts w:hint="eastAsia"/>
          <w:b/>
          <w:bCs/>
          <w:lang w:val="en-US" w:eastAsia="zh-CN"/>
        </w:rPr>
        <w:t>安信稳健增值混合</w:t>
      </w:r>
      <w:r>
        <w:rPr>
          <w:rFonts w:hint="eastAsia"/>
          <w:lang w:val="en-US" w:eastAsia="zh-CN"/>
        </w:rPr>
        <w:t>：属于灵活型混合基金，基金侧重于债券等低风险品种投资，追求稳健增长。成立以来增幅50.4%，需要注意基金过往业绩不等同于未来业绩，在投资原则里面安信稳健增值混合配置股票和权证的比例将会最高不超过95%，如果未来基金经理更换，该基金风格发生了切换，组合也会注意控制仓位或者用替补选手代替这只基金。</w:t>
      </w:r>
    </w:p>
    <w:p>
      <w:pPr>
        <w:jc w:val="left"/>
        <w:rPr>
          <w:rFonts w:hint="eastAsia"/>
          <w:lang w:val="en-US" w:eastAsia="zh-CN"/>
        </w:rPr>
      </w:pPr>
    </w:p>
    <w:p>
      <w:pPr>
        <w:jc w:val="left"/>
        <w:rPr>
          <w:rFonts w:hint="eastAsia"/>
          <w:lang w:val="en-US" w:eastAsia="zh-CN"/>
        </w:rPr>
      </w:pPr>
      <w:r>
        <w:rPr>
          <w:rFonts w:hint="eastAsia"/>
          <w:lang w:val="en-US" w:eastAsia="zh-CN"/>
        </w:rPr>
        <w:t>基金经理：李君，管理学硕士。历任光大证券研究所研究部行业分析师、国信证券研究所研究部高级行业分析师、上海泽熙投资管理有限公司投资研究部投资研究员、太和先机资产管理有限公司投资研究部研究总监、东方睿德(上海)投资管理有限公司股权投资部投资总监、上海东证橡睿投资管理有限公司投资部总经理。现任安信基金管理有限责任公司固定收益部基金经理。</w:t>
      </w:r>
    </w:p>
    <w:p>
      <w:pPr>
        <w:jc w:val="left"/>
        <w:rPr>
          <w:rFonts w:hint="eastAsia"/>
          <w:lang w:val="en-US" w:eastAsia="zh-CN"/>
        </w:rPr>
      </w:pPr>
    </w:p>
    <w:p>
      <w:pPr>
        <w:jc w:val="left"/>
        <w:rPr>
          <w:rFonts w:hint="default"/>
          <w:lang w:val="en-US" w:eastAsia="zh-CN"/>
        </w:rPr>
      </w:pPr>
      <w:r>
        <w:rPr>
          <w:rFonts w:hint="eastAsia"/>
          <w:b/>
          <w:bCs/>
          <w:lang w:val="en-US" w:eastAsia="zh-CN"/>
        </w:rPr>
        <w:t>南方宝元债</w:t>
      </w:r>
      <w:r>
        <w:rPr>
          <w:rFonts w:hint="eastAsia"/>
          <w:lang w:val="en-US" w:eastAsia="zh-CN"/>
        </w:rPr>
        <w:t>：这只基金东财给分类为二级债基，而从投资范围和投资原则来分类，这只基金是一只偏债混合基金。</w:t>
      </w:r>
    </w:p>
    <w:p>
      <w:pPr>
        <w:jc w:val="left"/>
        <w:rPr>
          <w:rFonts w:hint="eastAsia"/>
          <w:lang w:val="en-US" w:eastAsia="zh-CN"/>
        </w:rPr>
      </w:pPr>
    </w:p>
    <w:p>
      <w:pPr>
        <w:jc w:val="left"/>
        <w:rPr>
          <w:rFonts w:hint="eastAsia"/>
          <w:lang w:val="en-US" w:eastAsia="zh-CN"/>
        </w:rPr>
      </w:pPr>
      <w:r>
        <w:rPr>
          <w:rFonts w:hint="eastAsia"/>
          <w:lang w:val="en-US" w:eastAsia="zh-CN"/>
        </w:rPr>
        <w:t>南方宝元债作为一只偏债混合基金表现非常优秀，从2002年成立以来累计收益率611%，跑赢同期沪深300收益率407.94%，作为一只偏债混合基金，这是非常优秀的战绩，南方宝元债基金低风险投资者分散长期持有。</w:t>
      </w:r>
    </w:p>
    <w:p>
      <w:pPr>
        <w:jc w:val="left"/>
        <w:rPr>
          <w:rFonts w:hint="eastAsia"/>
          <w:lang w:val="en-US" w:eastAsia="zh-CN"/>
        </w:rPr>
      </w:pPr>
    </w:p>
    <w:p>
      <w:pPr>
        <w:jc w:val="left"/>
        <w:rPr>
          <w:rFonts w:hint="eastAsia"/>
          <w:lang w:val="en-US" w:eastAsia="zh-CN"/>
        </w:rPr>
      </w:pPr>
      <w:r>
        <w:rPr>
          <w:rFonts w:hint="eastAsia"/>
          <w:lang w:val="en-US" w:eastAsia="zh-CN"/>
        </w:rPr>
        <w:t>这只基金过往业绩也有表现不佳的地方，2008年金融危机的时候南方宝元债最大回撤高达18%，已经超出了我们组合预期的最大回撤，2008年是股票大熊年，发生较大回撤能够接受，而对于一只偏债混合基金，当时发生巨幅回撤没有控制好仓位，那一年是债市牛年，如果债券配置比例合适的话，回撤会小一些。</w:t>
      </w:r>
    </w:p>
    <w:p>
      <w:pPr>
        <w:jc w:val="left"/>
        <w:rPr>
          <w:rFonts w:hint="eastAsia"/>
          <w:lang w:val="en-US" w:eastAsia="zh-CN"/>
        </w:rPr>
      </w:pPr>
    </w:p>
    <w:p>
      <w:pPr>
        <w:jc w:val="left"/>
        <w:rPr>
          <w:rFonts w:hint="eastAsia"/>
          <w:lang w:val="en-US" w:eastAsia="zh-CN"/>
        </w:rPr>
      </w:pPr>
      <w:r>
        <w:rPr>
          <w:rFonts w:hint="eastAsia"/>
          <w:lang w:val="en-US" w:eastAsia="zh-CN"/>
        </w:rPr>
        <w:t>而盈亏同源，如果2008年高仓位配置债券，就会错过2009年的小牛市。这个回撤数据也启示投资者：不要误以为低风险偏债混合基金就不会大跌，金融市场是无序运行的，你永远也不知道下一次危机何时到来，投资者唯一能做的就是分仓配置，组合配置，不要押宝。</w:t>
      </w:r>
    </w:p>
    <w:p>
      <w:pPr>
        <w:jc w:val="left"/>
        <w:rPr>
          <w:rFonts w:hint="eastAsia"/>
          <w:lang w:val="en-US" w:eastAsia="zh-CN"/>
        </w:rPr>
      </w:pPr>
    </w:p>
    <w:p>
      <w:pPr>
        <w:jc w:val="left"/>
        <w:rPr>
          <w:rFonts w:hint="eastAsia"/>
          <w:lang w:val="en-US" w:eastAsia="zh-CN"/>
        </w:rPr>
      </w:pPr>
      <w:r>
        <w:rPr>
          <w:rFonts w:hint="eastAsia"/>
          <w:b/>
          <w:bCs/>
          <w:lang w:val="en-US" w:eastAsia="zh-CN"/>
        </w:rPr>
        <w:t>兴全趋势</w:t>
      </w:r>
      <w:r>
        <w:rPr>
          <w:rFonts w:hint="eastAsia"/>
          <w:lang w:val="en-US" w:eastAsia="zh-CN"/>
        </w:rPr>
        <w:t>：兴全趋势是兴全著名基金经理董承非掌舵，成立以来2018年回撤最大，最大回撤22%，组合选择这只基金作为防守中进攻，会控制整体仓位，这样会平抑组合波动，而当市场上行的时候会有超额收益。</w:t>
      </w:r>
    </w:p>
    <w:p>
      <w:pPr>
        <w:jc w:val="left"/>
        <w:rPr>
          <w:rFonts w:hint="eastAsia"/>
          <w:lang w:val="en-US" w:eastAsia="zh-CN"/>
        </w:rPr>
      </w:pPr>
    </w:p>
    <w:p>
      <w:pPr>
        <w:jc w:val="left"/>
        <w:rPr>
          <w:rFonts w:hint="eastAsia"/>
          <w:lang w:val="en-US" w:eastAsia="zh-CN"/>
        </w:rPr>
      </w:pPr>
      <w:r>
        <w:rPr>
          <w:rFonts w:hint="eastAsia"/>
          <w:b/>
          <w:bCs/>
          <w:lang w:val="en-US" w:eastAsia="zh-CN"/>
        </w:rPr>
        <w:t>工银瑞信双利债券</w:t>
      </w:r>
      <w:r>
        <w:rPr>
          <w:rFonts w:hint="eastAsia"/>
          <w:lang w:val="en-US" w:eastAsia="zh-CN"/>
        </w:rPr>
        <w:t>：这只基金也是非常优秀的，作为一只二级债基成立以来收益率117%，跑赢同期沪深300收益率73%，最大回撤发生在2016年和2017年债券熊市，控制在4%以内，而2018年大熊市期间，回撤控制在0.5%以内。整体表现优秀。</w:t>
      </w:r>
    </w:p>
    <w:p>
      <w:pPr>
        <w:jc w:val="left"/>
        <w:rPr>
          <w:rFonts w:hint="eastAsia"/>
          <w:lang w:val="en-US" w:eastAsia="zh-CN"/>
        </w:rPr>
      </w:pPr>
    </w:p>
    <w:p>
      <w:pPr>
        <w:jc w:val="left"/>
        <w:rPr>
          <w:rFonts w:hint="default"/>
          <w:lang w:val="en-US" w:eastAsia="zh-CN"/>
        </w:rPr>
      </w:pPr>
    </w:p>
    <w:p>
      <w:pPr>
        <w:jc w:val="left"/>
        <w:rPr>
          <w:rFonts w:hint="eastAsia"/>
          <w:lang w:val="en-US" w:eastAsia="zh-CN"/>
        </w:rPr>
      </w:pPr>
      <w:r>
        <w:rPr>
          <w:rFonts w:hint="eastAsia"/>
          <w:lang w:val="en-US" w:eastAsia="zh-CN"/>
        </w:rPr>
        <w:t>基金经理：欧阳凯，从业12年。曾任中海基金管理有限公司基金经理;2010年加入工银瑞信,现任固定收益投资总监、投资决策委员会成员。</w:t>
      </w:r>
    </w:p>
    <w:p>
      <w:pPr>
        <w:jc w:val="left"/>
        <w:rPr>
          <w:rFonts w:hint="eastAsia"/>
          <w:lang w:val="en-US" w:eastAsia="zh-CN"/>
        </w:rPr>
      </w:pPr>
    </w:p>
    <w:p>
      <w:pPr>
        <w:jc w:val="left"/>
        <w:rPr>
          <w:rFonts w:hint="eastAsia"/>
          <w:lang w:val="en-US" w:eastAsia="zh-CN"/>
        </w:rPr>
      </w:pPr>
      <w:r>
        <w:rPr>
          <w:rFonts w:hint="eastAsia"/>
          <w:lang w:val="en-US" w:eastAsia="zh-CN"/>
        </w:rPr>
        <w:t>这个基金比较神的一点是11年欧阳凯都掌舵，和富国天惠的朱少醒有一拼，未来可以比比看他俩谁管理基金时间长，资本市场不缺明星，寿星真的非常难得。活下去，长期市场20年稳定15%的收益率吊打一年一倍的选手。</w:t>
      </w:r>
    </w:p>
    <w:p>
      <w:pPr>
        <w:jc w:val="left"/>
        <w:rPr>
          <w:rFonts w:hint="eastAsia"/>
          <w:lang w:val="en-US" w:eastAsia="zh-CN"/>
        </w:rPr>
      </w:pPr>
    </w:p>
    <w:p>
      <w:pPr>
        <w:jc w:val="left"/>
        <w:rPr>
          <w:rFonts w:hint="eastAsia"/>
          <w:lang w:val="en-US" w:eastAsia="zh-CN"/>
        </w:rPr>
      </w:pPr>
      <w:r>
        <w:rPr>
          <w:rFonts w:hint="eastAsia"/>
          <w:b/>
          <w:bCs/>
          <w:lang w:val="en-US" w:eastAsia="zh-CN"/>
        </w:rPr>
        <w:t>广发稳健增长混合</w:t>
      </w:r>
      <w:r>
        <w:rPr>
          <w:rFonts w:hint="eastAsia"/>
          <w:lang w:val="en-US" w:eastAsia="zh-CN"/>
        </w:rPr>
        <w:t>：这只基金属于平衡型混合基金，最大回撤发生在13年和14年，大约25%，回撤也是偏高的，对于混合基金，他的回撤在合理范围，而组合是低风险组合，所以会控制仓位，在市场极端低位再给与配置。否则将会让组合最大回撤超过10%。</w:t>
      </w:r>
    </w:p>
    <w:p>
      <w:pPr>
        <w:jc w:val="left"/>
        <w:rPr>
          <w:rFonts w:hint="eastAsia"/>
          <w:lang w:val="en-US" w:eastAsia="zh-CN"/>
        </w:rPr>
      </w:pPr>
    </w:p>
    <w:p>
      <w:pPr>
        <w:jc w:val="left"/>
        <w:rPr>
          <w:rFonts w:hint="eastAsia"/>
          <w:lang w:val="en-US" w:eastAsia="zh-CN"/>
        </w:rPr>
      </w:pPr>
      <w:r>
        <w:rPr>
          <w:rFonts w:hint="eastAsia"/>
          <w:lang w:val="en-US" w:eastAsia="zh-CN"/>
        </w:rPr>
        <w:t>基金经理：傅友兴。2002年2月至2006年3月先后任天同基金管理有限公司研究员、基金经理助理、投委会秘书,广发基金管理有限公司研究发展部研究员、基金经理助理、研究发展部副总经理、研究发展部总经理、权益投资一部副总经理。</w:t>
      </w:r>
    </w:p>
    <w:p>
      <w:pPr>
        <w:jc w:val="left"/>
        <w:rPr>
          <w:rFonts w:hint="eastAsia"/>
          <w:lang w:val="en-US" w:eastAsia="zh-CN"/>
        </w:rPr>
      </w:pPr>
    </w:p>
    <w:p>
      <w:pPr>
        <w:jc w:val="left"/>
        <w:rPr>
          <w:rFonts w:hint="eastAsia"/>
          <w:lang w:val="en-US" w:eastAsia="zh-CN"/>
        </w:rPr>
      </w:pPr>
      <w:r>
        <w:rPr>
          <w:rFonts w:hint="eastAsia"/>
          <w:b/>
          <w:bCs/>
          <w:lang w:val="en-US" w:eastAsia="zh-CN"/>
        </w:rPr>
        <w:t>易方达增强回报债</w:t>
      </w:r>
      <w:r>
        <w:rPr>
          <w:rFonts w:hint="eastAsia"/>
          <w:lang w:val="en-US" w:eastAsia="zh-CN"/>
        </w:rPr>
        <w:t>：这是一级债基，成立以来收益率212%，跑赢同期沪深300收益率30.61%，跑赢同期国债指数收益率64.14%，这只基金回撤控制很好，历年最大回撤控制再5%以内，即使2013年遭遇了股债双杀这只基金的最大回撤也控制在4.08%，是一款稳健的二级债基。</w:t>
      </w:r>
    </w:p>
    <w:p>
      <w:pPr>
        <w:jc w:val="left"/>
        <w:rPr>
          <w:rFonts w:hint="eastAsia"/>
          <w:lang w:val="en-US" w:eastAsia="zh-CN"/>
        </w:rPr>
      </w:pPr>
    </w:p>
    <w:p>
      <w:pPr>
        <w:jc w:val="left"/>
        <w:rPr>
          <w:rFonts w:hint="eastAsia"/>
          <w:lang w:val="en-US" w:eastAsia="zh-CN"/>
        </w:rPr>
      </w:pPr>
      <w:r>
        <w:rPr>
          <w:rFonts w:hint="eastAsia"/>
          <w:lang w:val="en-US" w:eastAsia="zh-CN"/>
        </w:rPr>
        <w:t>组合以纯债基金、一级债基和二级债基为主，辅助偏债混合和平衡型、偏股型混合基金，放弃高波动的指数基金和主动型股票型基金。指数基金本质也是股票型基金，只不过是被动型指数基金。</w:t>
      </w:r>
    </w:p>
    <w:p>
      <w:pPr>
        <w:jc w:val="left"/>
        <w:rPr>
          <w:rFonts w:hint="eastAsia"/>
          <w:lang w:val="en-US" w:eastAsia="zh-CN"/>
        </w:rPr>
      </w:pPr>
    </w:p>
    <w:p>
      <w:pPr>
        <w:jc w:val="left"/>
        <w:rPr>
          <w:rFonts w:hint="eastAsia"/>
          <w:lang w:val="en-US" w:eastAsia="zh-CN"/>
        </w:rPr>
      </w:pPr>
      <w:r>
        <w:rPr>
          <w:rFonts w:hint="eastAsia"/>
          <w:lang w:val="en-US" w:eastAsia="zh-CN"/>
        </w:rPr>
        <w:t>注意，这个组合放弃股票型基金不意味着投资放弃股票型基金，长期看优质的被动型股票基金（指数基金）和主动的股票型基金收益率是最好的。</w:t>
      </w:r>
    </w:p>
    <w:p>
      <w:pPr>
        <w:jc w:val="left"/>
        <w:rPr>
          <w:rFonts w:hint="eastAsia"/>
          <w:lang w:val="en-US" w:eastAsia="zh-CN"/>
        </w:rPr>
      </w:pPr>
    </w:p>
    <w:p>
      <w:pPr>
        <w:jc w:val="left"/>
        <w:rPr>
          <w:rFonts w:hint="eastAsia"/>
          <w:lang w:val="en-US" w:eastAsia="zh-CN"/>
        </w:rPr>
      </w:pPr>
      <w:r>
        <w:rPr>
          <w:rFonts w:hint="eastAsia"/>
          <w:lang w:val="en-US" w:eastAsia="zh-CN"/>
        </w:rPr>
        <w:t>投资分为四个层级：按照足球场内配置理论，组合分为前锋、中锋、后卫和守门员。攻守兼备，不惧任何回撤。风险在于高通胀下带来的股债双杀。</w:t>
      </w:r>
    </w:p>
    <w:p>
      <w:pPr>
        <w:jc w:val="left"/>
        <w:rPr>
          <w:rFonts w:hint="eastAsia"/>
          <w:lang w:val="en-US" w:eastAsia="zh-CN"/>
        </w:rPr>
      </w:pPr>
    </w:p>
    <w:p>
      <w:pPr>
        <w:numPr>
          <w:ilvl w:val="0"/>
          <w:numId w:val="1"/>
        </w:numPr>
        <w:jc w:val="left"/>
        <w:rPr>
          <w:rFonts w:hint="eastAsia"/>
          <w:b/>
          <w:bCs/>
          <w:lang w:val="en-US" w:eastAsia="zh-CN"/>
        </w:rPr>
      </w:pPr>
      <w:r>
        <w:rPr>
          <w:rFonts w:hint="eastAsia"/>
          <w:b/>
          <w:bCs/>
          <w:lang w:val="en-US" w:eastAsia="zh-CN"/>
        </w:rPr>
        <w:t>组合的预期收益率</w:t>
      </w:r>
    </w:p>
    <w:p>
      <w:pPr>
        <w:widowControl w:val="0"/>
        <w:numPr>
          <w:ilvl w:val="0"/>
          <w:numId w:val="0"/>
        </w:numPr>
        <w:jc w:val="left"/>
        <w:rPr>
          <w:rFonts w:hint="default"/>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组合非稳定收益品种，最大回撤预计在10%以内，适合中期1到3年不用的资金进行投资。</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预期收益率年化5%——10%，有本金亏损风险。</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适合投资者一次性配置长期持有作为养老组合，长期跑赢通胀，稳健获利，每个人家庭财富情况不同，资产收益预期不同，选择适合自己的。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如果想要实现年化20%以上收益率的朋友，这个组合不适合。</w:t>
      </w:r>
    </w:p>
    <w:p>
      <w:pPr>
        <w:widowControl w:val="0"/>
        <w:numPr>
          <w:ilvl w:val="0"/>
          <w:numId w:val="0"/>
        </w:numPr>
        <w:jc w:val="left"/>
        <w:rPr>
          <w:rFonts w:hint="eastAsia"/>
          <w:b w:val="0"/>
          <w:bCs w:val="0"/>
          <w:lang w:val="en-US" w:eastAsia="zh-CN"/>
        </w:rPr>
      </w:pPr>
    </w:p>
    <w:p>
      <w:pPr>
        <w:widowControl w:val="0"/>
        <w:numPr>
          <w:ilvl w:val="0"/>
          <w:numId w:val="1"/>
        </w:numPr>
        <w:ind w:left="0" w:leftChars="0" w:firstLine="0" w:firstLineChars="0"/>
        <w:jc w:val="left"/>
        <w:rPr>
          <w:rFonts w:hint="eastAsia"/>
          <w:b/>
          <w:bCs/>
          <w:lang w:val="en-US" w:eastAsia="zh-CN"/>
        </w:rPr>
      </w:pPr>
      <w:r>
        <w:rPr>
          <w:rFonts w:hint="eastAsia"/>
          <w:b/>
          <w:bCs/>
          <w:lang w:val="en-US" w:eastAsia="zh-CN"/>
        </w:rPr>
        <w:t>如何投资</w:t>
      </w:r>
    </w:p>
    <w:p>
      <w:pPr>
        <w:widowControl w:val="0"/>
        <w:numPr>
          <w:numId w:val="0"/>
        </w:numPr>
        <w:jc w:val="left"/>
        <w:rPr>
          <w:rFonts w:hint="default"/>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如果能够承受10%左右的波动，可以一次性配置，长期持有。</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如果不能够承受10%左右的波动，可以一次建立5成底仓，然后剩余资金分5次配置即可。</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今年投资以防守+网格为主，网格我同期采用的东方财富和券商ETF，因为公开股票买卖价位不合规，以及股票风险较大，所以公开场合不谈股票买卖点，如果有牛市，券商不可能不涨，而东财是券商龙头，过往营收高速增长，企业也处于成长期，是最佳的券茅。</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我对今年行情偏警惕，所以拿这个做网格也做好了被套的准备，但是长期看，在这个位置不断买入券商，未来不可能不涨，即使发生了金融危机最大回撤也可以在50%以内，我有耐心持有券商3年以上。</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r>
        <w:rPr>
          <w:rFonts w:hint="eastAsia"/>
          <w:b w:val="0"/>
          <w:bCs w:val="0"/>
          <w:lang w:val="en-US" w:eastAsia="zh-CN"/>
        </w:rPr>
        <w:t>反之如果二师父对行情预判错误，今年仍旧是超级牛市，那么坐在券商的车上，会笑开怀，这也就是索罗斯说的，当你预测错误，但是却挣钱了。</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r>
        <w:rPr>
          <w:rFonts w:hint="eastAsia"/>
          <w:b w:val="0"/>
          <w:bCs w:val="0"/>
          <w:lang w:val="en-US" w:eastAsia="zh-CN"/>
        </w:rPr>
        <w:t>对于趋势交易的朋友，目前空仓是最好的应对方法，对于价值投资朋友，当前要严控仓位，满仓穿越适合流动性充裕的朋友，比如股市投资100万，家庭年结余100万，满仓穿越毫无压力。别管别人卧倒不卧倒，可能他卧倒100万，一年挣100万，而普通投资者卧倒10万，一年还得开支1万，一定结合自身实际。</w:t>
      </w:r>
    </w:p>
    <w:p>
      <w:pPr>
        <w:widowControl w:val="0"/>
        <w:numPr>
          <w:numId w:val="0"/>
        </w:numPr>
        <w:jc w:val="left"/>
        <w:rPr>
          <w:rFonts w:hint="eastAsia"/>
          <w:b/>
          <w:bCs/>
          <w:lang w:val="en-US" w:eastAsia="zh-CN"/>
        </w:rPr>
      </w:pPr>
    </w:p>
    <w:p>
      <w:pPr>
        <w:widowControl w:val="0"/>
        <w:numPr>
          <w:numId w:val="0"/>
        </w:numPr>
        <w:jc w:val="left"/>
        <w:rPr>
          <w:rFonts w:hint="eastAsia"/>
          <w:b/>
          <w:bCs/>
          <w:lang w:val="en-US" w:eastAsia="zh-CN"/>
        </w:rPr>
      </w:pPr>
      <w:r>
        <w:rPr>
          <w:rFonts w:hint="eastAsia"/>
          <w:b/>
          <w:bCs/>
          <w:lang w:val="en-US" w:eastAsia="zh-CN"/>
        </w:rPr>
        <w:t>对于手头还有资金的朋友，如果预期收益率达标，可以上车安心组合，天天基金关注组合以后，调仓会短信并在APP上通知。乌龟计划预计估值分位40%左右重启投资，按照自己的标准行事，严格量化操作，避免被市场极度恐慌情绪和极度狂热情绪左右。</w:t>
      </w:r>
    </w:p>
    <w:p>
      <w:pPr>
        <w:widowControl w:val="0"/>
        <w:numPr>
          <w:numId w:val="0"/>
        </w:numPr>
        <w:jc w:val="left"/>
        <w:rPr>
          <w:rFonts w:hint="eastAsia"/>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如果没有符合自己原则的投资机会，什么也不干就超越了市场上70%的投资者。如果赚够了，及时退出，知足不辱，知止不殆。</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r>
        <w:rPr>
          <w:rFonts w:hint="default"/>
          <w:b w:val="0"/>
          <w:bCs w:val="0"/>
          <w:lang w:val="en-US" w:eastAsia="zh-CN"/>
        </w:rPr>
        <w:drawing>
          <wp:inline distT="0" distB="0" distL="114300" distR="114300">
            <wp:extent cx="5272405" cy="2319655"/>
            <wp:effectExtent l="0" t="0" r="10795" b="4445"/>
            <wp:docPr id="1" name="图片 1" descr="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合"/>
                    <pic:cNvPicPr>
                      <a:picLocks noChangeAspect="1"/>
                    </pic:cNvPicPr>
                  </pic:nvPicPr>
                  <pic:blipFill>
                    <a:blip r:embed="rId5"/>
                    <a:stretch>
                      <a:fillRect/>
                    </a:stretch>
                  </pic:blipFill>
                  <pic:spPr>
                    <a:xfrm>
                      <a:off x="0" y="0"/>
                      <a:ext cx="5272405" cy="2319655"/>
                    </a:xfrm>
                    <a:prstGeom prst="rect">
                      <a:avLst/>
                    </a:prstGeom>
                  </pic:spPr>
                </pic:pic>
              </a:graphicData>
            </a:graphic>
          </wp:inline>
        </w:drawing>
      </w:r>
      <w:bookmarkStart w:id="0" w:name="_GoBack"/>
      <w:bookmarkEnd w:id="0"/>
    </w:p>
    <w:p>
      <w:pPr>
        <w:jc w:val="left"/>
        <w:rPr>
          <w:rFonts w:hint="eastAsia"/>
          <w:b w:val="0"/>
          <w:bCs w:val="0"/>
          <w:lang w:val="en-US" w:eastAsia="zh-CN"/>
        </w:rPr>
      </w:pPr>
    </w:p>
    <w:p>
      <w:pPr>
        <w:jc w:val="left"/>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sz w:val="44"/>
        <w:szCs w:val="44"/>
        <w:lang w:val="en-US" w:eastAsia="zh-CN"/>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32930"/>
    <w:multiLevelType w:val="singleLevel"/>
    <w:tmpl w:val="6313293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137C1"/>
    <w:rsid w:val="00017B3F"/>
    <w:rsid w:val="00032360"/>
    <w:rsid w:val="00033908"/>
    <w:rsid w:val="000353AD"/>
    <w:rsid w:val="00050ACF"/>
    <w:rsid w:val="000923B0"/>
    <w:rsid w:val="00097A16"/>
    <w:rsid w:val="000A7690"/>
    <w:rsid w:val="000A775D"/>
    <w:rsid w:val="000C5ED4"/>
    <w:rsid w:val="000D6397"/>
    <w:rsid w:val="000F033E"/>
    <w:rsid w:val="000F111A"/>
    <w:rsid w:val="00101AAF"/>
    <w:rsid w:val="0013423F"/>
    <w:rsid w:val="0016520B"/>
    <w:rsid w:val="00165803"/>
    <w:rsid w:val="001737BB"/>
    <w:rsid w:val="001B4956"/>
    <w:rsid w:val="001B54FC"/>
    <w:rsid w:val="001D1688"/>
    <w:rsid w:val="001D4BC8"/>
    <w:rsid w:val="001F58B2"/>
    <w:rsid w:val="00201F63"/>
    <w:rsid w:val="002033E2"/>
    <w:rsid w:val="00204A42"/>
    <w:rsid w:val="00224ACD"/>
    <w:rsid w:val="00225F7C"/>
    <w:rsid w:val="00231CCC"/>
    <w:rsid w:val="002371A3"/>
    <w:rsid w:val="002372B0"/>
    <w:rsid w:val="00260134"/>
    <w:rsid w:val="0026288B"/>
    <w:rsid w:val="00271473"/>
    <w:rsid w:val="00292BCE"/>
    <w:rsid w:val="0029353C"/>
    <w:rsid w:val="002A145E"/>
    <w:rsid w:val="002A178E"/>
    <w:rsid w:val="002A269E"/>
    <w:rsid w:val="002A27E2"/>
    <w:rsid w:val="002A6E56"/>
    <w:rsid w:val="002C4051"/>
    <w:rsid w:val="002F35E2"/>
    <w:rsid w:val="002F4442"/>
    <w:rsid w:val="00327B46"/>
    <w:rsid w:val="00341871"/>
    <w:rsid w:val="00351563"/>
    <w:rsid w:val="00363322"/>
    <w:rsid w:val="00371172"/>
    <w:rsid w:val="003743F2"/>
    <w:rsid w:val="003A603E"/>
    <w:rsid w:val="003C1F92"/>
    <w:rsid w:val="003C2473"/>
    <w:rsid w:val="003D7CB7"/>
    <w:rsid w:val="003F14B1"/>
    <w:rsid w:val="003F221C"/>
    <w:rsid w:val="004161FD"/>
    <w:rsid w:val="00422F9A"/>
    <w:rsid w:val="00455194"/>
    <w:rsid w:val="004736C1"/>
    <w:rsid w:val="004B3817"/>
    <w:rsid w:val="004B509D"/>
    <w:rsid w:val="004D22E8"/>
    <w:rsid w:val="0053047F"/>
    <w:rsid w:val="0053344C"/>
    <w:rsid w:val="00537098"/>
    <w:rsid w:val="0054352D"/>
    <w:rsid w:val="00577DCE"/>
    <w:rsid w:val="005A5822"/>
    <w:rsid w:val="005C7D6E"/>
    <w:rsid w:val="005E3D5E"/>
    <w:rsid w:val="005F236E"/>
    <w:rsid w:val="006044D8"/>
    <w:rsid w:val="0061359C"/>
    <w:rsid w:val="00627A21"/>
    <w:rsid w:val="00632DCE"/>
    <w:rsid w:val="00644F74"/>
    <w:rsid w:val="00647FF4"/>
    <w:rsid w:val="006506A4"/>
    <w:rsid w:val="00653E78"/>
    <w:rsid w:val="00655ADC"/>
    <w:rsid w:val="00655B50"/>
    <w:rsid w:val="006700E6"/>
    <w:rsid w:val="006F2853"/>
    <w:rsid w:val="00700073"/>
    <w:rsid w:val="007159F3"/>
    <w:rsid w:val="0073259F"/>
    <w:rsid w:val="00733666"/>
    <w:rsid w:val="00741ABE"/>
    <w:rsid w:val="00747BAA"/>
    <w:rsid w:val="007770B6"/>
    <w:rsid w:val="00794541"/>
    <w:rsid w:val="007A11D8"/>
    <w:rsid w:val="007B412F"/>
    <w:rsid w:val="007C1AB9"/>
    <w:rsid w:val="007E0A25"/>
    <w:rsid w:val="00831FBE"/>
    <w:rsid w:val="008350B5"/>
    <w:rsid w:val="00884BCB"/>
    <w:rsid w:val="00894866"/>
    <w:rsid w:val="008A137B"/>
    <w:rsid w:val="008B5F45"/>
    <w:rsid w:val="008B6824"/>
    <w:rsid w:val="008C149A"/>
    <w:rsid w:val="008C2ABC"/>
    <w:rsid w:val="008D018A"/>
    <w:rsid w:val="008D753B"/>
    <w:rsid w:val="008E3F86"/>
    <w:rsid w:val="008F2732"/>
    <w:rsid w:val="00904854"/>
    <w:rsid w:val="0092085D"/>
    <w:rsid w:val="0093447C"/>
    <w:rsid w:val="009946B8"/>
    <w:rsid w:val="009973E1"/>
    <w:rsid w:val="009A3730"/>
    <w:rsid w:val="009A5344"/>
    <w:rsid w:val="009D2F6C"/>
    <w:rsid w:val="009E0770"/>
    <w:rsid w:val="00A239C6"/>
    <w:rsid w:val="00A51C84"/>
    <w:rsid w:val="00A77F9C"/>
    <w:rsid w:val="00AB2B19"/>
    <w:rsid w:val="00AC5130"/>
    <w:rsid w:val="00AF5600"/>
    <w:rsid w:val="00B1019E"/>
    <w:rsid w:val="00B17CA9"/>
    <w:rsid w:val="00B45B5E"/>
    <w:rsid w:val="00B518D0"/>
    <w:rsid w:val="00B51D8D"/>
    <w:rsid w:val="00B55CE5"/>
    <w:rsid w:val="00B71966"/>
    <w:rsid w:val="00B87F07"/>
    <w:rsid w:val="00B9128B"/>
    <w:rsid w:val="00B9347E"/>
    <w:rsid w:val="00BC7CB4"/>
    <w:rsid w:val="00BD1432"/>
    <w:rsid w:val="00BD4E68"/>
    <w:rsid w:val="00BF322C"/>
    <w:rsid w:val="00C05BFE"/>
    <w:rsid w:val="00C1085D"/>
    <w:rsid w:val="00C10BCB"/>
    <w:rsid w:val="00C2774B"/>
    <w:rsid w:val="00C47B86"/>
    <w:rsid w:val="00C63792"/>
    <w:rsid w:val="00C72106"/>
    <w:rsid w:val="00C73233"/>
    <w:rsid w:val="00C76047"/>
    <w:rsid w:val="00D0201F"/>
    <w:rsid w:val="00D123AA"/>
    <w:rsid w:val="00D201B9"/>
    <w:rsid w:val="00D23076"/>
    <w:rsid w:val="00D35B17"/>
    <w:rsid w:val="00D369E1"/>
    <w:rsid w:val="00D608FD"/>
    <w:rsid w:val="00D7714A"/>
    <w:rsid w:val="00D944B3"/>
    <w:rsid w:val="00DB28D2"/>
    <w:rsid w:val="00DE17F0"/>
    <w:rsid w:val="00E23843"/>
    <w:rsid w:val="00E31AA1"/>
    <w:rsid w:val="00E3358B"/>
    <w:rsid w:val="00E34F3B"/>
    <w:rsid w:val="00E62035"/>
    <w:rsid w:val="00E771A0"/>
    <w:rsid w:val="00E840EF"/>
    <w:rsid w:val="00E9055F"/>
    <w:rsid w:val="00EA0B17"/>
    <w:rsid w:val="00EA2F0D"/>
    <w:rsid w:val="00EB7F7D"/>
    <w:rsid w:val="00EC1440"/>
    <w:rsid w:val="00EC2C3B"/>
    <w:rsid w:val="00EE1F5B"/>
    <w:rsid w:val="00EE7D94"/>
    <w:rsid w:val="00EF4724"/>
    <w:rsid w:val="00F254EA"/>
    <w:rsid w:val="00F30826"/>
    <w:rsid w:val="00F37064"/>
    <w:rsid w:val="00F401B9"/>
    <w:rsid w:val="00F52356"/>
    <w:rsid w:val="00F74D9E"/>
    <w:rsid w:val="00F90CA6"/>
    <w:rsid w:val="00FC5D83"/>
    <w:rsid w:val="01E87C08"/>
    <w:rsid w:val="024362F2"/>
    <w:rsid w:val="02E53830"/>
    <w:rsid w:val="02EE7645"/>
    <w:rsid w:val="034B2DB8"/>
    <w:rsid w:val="03860323"/>
    <w:rsid w:val="03A92E5D"/>
    <w:rsid w:val="03A94DE3"/>
    <w:rsid w:val="05D80E9F"/>
    <w:rsid w:val="07556478"/>
    <w:rsid w:val="075931E4"/>
    <w:rsid w:val="07732823"/>
    <w:rsid w:val="0791334D"/>
    <w:rsid w:val="07B140B3"/>
    <w:rsid w:val="07BD27E4"/>
    <w:rsid w:val="0915055B"/>
    <w:rsid w:val="0917580D"/>
    <w:rsid w:val="095B7F74"/>
    <w:rsid w:val="0AE41A61"/>
    <w:rsid w:val="0AFF72F3"/>
    <w:rsid w:val="0B046767"/>
    <w:rsid w:val="0B82684E"/>
    <w:rsid w:val="0BF56F70"/>
    <w:rsid w:val="0C800BA2"/>
    <w:rsid w:val="0CBE1FB2"/>
    <w:rsid w:val="0DF449DF"/>
    <w:rsid w:val="0E321F67"/>
    <w:rsid w:val="0E3845F1"/>
    <w:rsid w:val="0E4E4500"/>
    <w:rsid w:val="0E6D7F8A"/>
    <w:rsid w:val="0EE96CC1"/>
    <w:rsid w:val="0FB01B99"/>
    <w:rsid w:val="10801801"/>
    <w:rsid w:val="10ED4550"/>
    <w:rsid w:val="1224161B"/>
    <w:rsid w:val="12C433CC"/>
    <w:rsid w:val="12E32A5F"/>
    <w:rsid w:val="136B0C0B"/>
    <w:rsid w:val="13785DA6"/>
    <w:rsid w:val="13A5555B"/>
    <w:rsid w:val="14494D37"/>
    <w:rsid w:val="14F84018"/>
    <w:rsid w:val="16861DB5"/>
    <w:rsid w:val="16B36EB9"/>
    <w:rsid w:val="17FB0B06"/>
    <w:rsid w:val="181F513C"/>
    <w:rsid w:val="185C49C1"/>
    <w:rsid w:val="18654ADC"/>
    <w:rsid w:val="18F64DD0"/>
    <w:rsid w:val="196162B6"/>
    <w:rsid w:val="1A2C6071"/>
    <w:rsid w:val="1A3D222E"/>
    <w:rsid w:val="1A7D6864"/>
    <w:rsid w:val="1AD03171"/>
    <w:rsid w:val="1C474125"/>
    <w:rsid w:val="1D9A2A55"/>
    <w:rsid w:val="1E040F4F"/>
    <w:rsid w:val="1F267C7E"/>
    <w:rsid w:val="1F7C08DD"/>
    <w:rsid w:val="1FDC01D5"/>
    <w:rsid w:val="20106BD8"/>
    <w:rsid w:val="20605226"/>
    <w:rsid w:val="20A80949"/>
    <w:rsid w:val="20F279EB"/>
    <w:rsid w:val="21323969"/>
    <w:rsid w:val="21CE2B95"/>
    <w:rsid w:val="23093A68"/>
    <w:rsid w:val="241E2BC9"/>
    <w:rsid w:val="24921243"/>
    <w:rsid w:val="24A7533F"/>
    <w:rsid w:val="25E761AE"/>
    <w:rsid w:val="26123777"/>
    <w:rsid w:val="267D0519"/>
    <w:rsid w:val="26F72FE9"/>
    <w:rsid w:val="27193883"/>
    <w:rsid w:val="27935E5C"/>
    <w:rsid w:val="27D078BC"/>
    <w:rsid w:val="28D3465C"/>
    <w:rsid w:val="28EC2CCB"/>
    <w:rsid w:val="29481C24"/>
    <w:rsid w:val="294B6DCA"/>
    <w:rsid w:val="29532B2A"/>
    <w:rsid w:val="295C3710"/>
    <w:rsid w:val="297D0FF6"/>
    <w:rsid w:val="2BAC512C"/>
    <w:rsid w:val="2BB7524F"/>
    <w:rsid w:val="2BF66F43"/>
    <w:rsid w:val="2C141120"/>
    <w:rsid w:val="2CF177EC"/>
    <w:rsid w:val="2D211CDB"/>
    <w:rsid w:val="2D937616"/>
    <w:rsid w:val="2DA64225"/>
    <w:rsid w:val="2E2A63B4"/>
    <w:rsid w:val="2EB61A65"/>
    <w:rsid w:val="2F514DAA"/>
    <w:rsid w:val="2F9E2944"/>
    <w:rsid w:val="2FE95A25"/>
    <w:rsid w:val="30C90557"/>
    <w:rsid w:val="31557B6A"/>
    <w:rsid w:val="315C1388"/>
    <w:rsid w:val="326824DE"/>
    <w:rsid w:val="33664DA6"/>
    <w:rsid w:val="355F4DA9"/>
    <w:rsid w:val="35F5341E"/>
    <w:rsid w:val="364F5D0B"/>
    <w:rsid w:val="36E528B5"/>
    <w:rsid w:val="375000C8"/>
    <w:rsid w:val="37A34788"/>
    <w:rsid w:val="385A08D2"/>
    <w:rsid w:val="388A5E2C"/>
    <w:rsid w:val="38B66EE1"/>
    <w:rsid w:val="39DC3783"/>
    <w:rsid w:val="3A5F761A"/>
    <w:rsid w:val="3B1B2E93"/>
    <w:rsid w:val="3B7252B2"/>
    <w:rsid w:val="3BE24C7D"/>
    <w:rsid w:val="3D532CB0"/>
    <w:rsid w:val="3D5E4389"/>
    <w:rsid w:val="3D7B0F86"/>
    <w:rsid w:val="3E3A0EE8"/>
    <w:rsid w:val="3E623D8E"/>
    <w:rsid w:val="3E9E29EE"/>
    <w:rsid w:val="3EAE14DC"/>
    <w:rsid w:val="3EF17154"/>
    <w:rsid w:val="3FB7140D"/>
    <w:rsid w:val="40A54D0D"/>
    <w:rsid w:val="41751900"/>
    <w:rsid w:val="42C71278"/>
    <w:rsid w:val="42D7129F"/>
    <w:rsid w:val="42DF1078"/>
    <w:rsid w:val="43025611"/>
    <w:rsid w:val="43BD5062"/>
    <w:rsid w:val="441F053B"/>
    <w:rsid w:val="45EE3B83"/>
    <w:rsid w:val="46CF7B6E"/>
    <w:rsid w:val="46D25ABD"/>
    <w:rsid w:val="485C0CA6"/>
    <w:rsid w:val="488F7F4E"/>
    <w:rsid w:val="491D6245"/>
    <w:rsid w:val="4998753B"/>
    <w:rsid w:val="49BD4C6D"/>
    <w:rsid w:val="4A045934"/>
    <w:rsid w:val="4A912064"/>
    <w:rsid w:val="4AD42760"/>
    <w:rsid w:val="4AE8230B"/>
    <w:rsid w:val="4CEC764A"/>
    <w:rsid w:val="4CF415F1"/>
    <w:rsid w:val="4D7A512A"/>
    <w:rsid w:val="4E2F3FA8"/>
    <w:rsid w:val="4EF93FC1"/>
    <w:rsid w:val="4F1446B7"/>
    <w:rsid w:val="4F7B4E0C"/>
    <w:rsid w:val="4FC12E58"/>
    <w:rsid w:val="500A7A8F"/>
    <w:rsid w:val="50A52459"/>
    <w:rsid w:val="50B4372E"/>
    <w:rsid w:val="50C62095"/>
    <w:rsid w:val="51CF77F2"/>
    <w:rsid w:val="520948DC"/>
    <w:rsid w:val="52760E87"/>
    <w:rsid w:val="52EF2617"/>
    <w:rsid w:val="533D7CA1"/>
    <w:rsid w:val="53693262"/>
    <w:rsid w:val="539E7712"/>
    <w:rsid w:val="54431995"/>
    <w:rsid w:val="54F151F2"/>
    <w:rsid w:val="54F50353"/>
    <w:rsid w:val="55220553"/>
    <w:rsid w:val="55AB006F"/>
    <w:rsid w:val="55C561C9"/>
    <w:rsid w:val="56334264"/>
    <w:rsid w:val="57663C36"/>
    <w:rsid w:val="58A6358D"/>
    <w:rsid w:val="58E86D65"/>
    <w:rsid w:val="590E487C"/>
    <w:rsid w:val="59500560"/>
    <w:rsid w:val="5A185946"/>
    <w:rsid w:val="5A390F22"/>
    <w:rsid w:val="5A593CC0"/>
    <w:rsid w:val="5A61004C"/>
    <w:rsid w:val="5B00376B"/>
    <w:rsid w:val="5B025B61"/>
    <w:rsid w:val="5B18539E"/>
    <w:rsid w:val="5B1E7D05"/>
    <w:rsid w:val="5BA5390F"/>
    <w:rsid w:val="5BB606BD"/>
    <w:rsid w:val="5C5D4B60"/>
    <w:rsid w:val="5CA63685"/>
    <w:rsid w:val="5D151883"/>
    <w:rsid w:val="5D3925F7"/>
    <w:rsid w:val="5D824FE8"/>
    <w:rsid w:val="5E652A9D"/>
    <w:rsid w:val="5EE8738A"/>
    <w:rsid w:val="607276BF"/>
    <w:rsid w:val="60FA0211"/>
    <w:rsid w:val="61C606CD"/>
    <w:rsid w:val="61C90829"/>
    <w:rsid w:val="61FC17DB"/>
    <w:rsid w:val="626137BD"/>
    <w:rsid w:val="634F1766"/>
    <w:rsid w:val="63755C3C"/>
    <w:rsid w:val="63B92730"/>
    <w:rsid w:val="63C916C8"/>
    <w:rsid w:val="63E90BC1"/>
    <w:rsid w:val="648F78ED"/>
    <w:rsid w:val="64BE20A8"/>
    <w:rsid w:val="64EF79DF"/>
    <w:rsid w:val="651E1B1B"/>
    <w:rsid w:val="654D4007"/>
    <w:rsid w:val="655F3C00"/>
    <w:rsid w:val="66626086"/>
    <w:rsid w:val="67032170"/>
    <w:rsid w:val="671934F8"/>
    <w:rsid w:val="67B12B91"/>
    <w:rsid w:val="68065045"/>
    <w:rsid w:val="681D20C9"/>
    <w:rsid w:val="68227A1B"/>
    <w:rsid w:val="68356B8F"/>
    <w:rsid w:val="683A766A"/>
    <w:rsid w:val="68510850"/>
    <w:rsid w:val="68B626C3"/>
    <w:rsid w:val="68FD4810"/>
    <w:rsid w:val="6958271F"/>
    <w:rsid w:val="6983212A"/>
    <w:rsid w:val="69A7042C"/>
    <w:rsid w:val="6A0E75C8"/>
    <w:rsid w:val="6A573F23"/>
    <w:rsid w:val="6AF25E02"/>
    <w:rsid w:val="6B4C2435"/>
    <w:rsid w:val="6B9233BC"/>
    <w:rsid w:val="6C415283"/>
    <w:rsid w:val="6C673664"/>
    <w:rsid w:val="6C795ECF"/>
    <w:rsid w:val="6C923FFF"/>
    <w:rsid w:val="6C941272"/>
    <w:rsid w:val="6DBC2B74"/>
    <w:rsid w:val="6DCE6431"/>
    <w:rsid w:val="6E08613D"/>
    <w:rsid w:val="6E9F04DF"/>
    <w:rsid w:val="6ECB6406"/>
    <w:rsid w:val="6EE22AAE"/>
    <w:rsid w:val="6EEB4AEA"/>
    <w:rsid w:val="6F06006C"/>
    <w:rsid w:val="6F5B573C"/>
    <w:rsid w:val="715351B7"/>
    <w:rsid w:val="71A419B7"/>
    <w:rsid w:val="72351893"/>
    <w:rsid w:val="7338089A"/>
    <w:rsid w:val="746F724C"/>
    <w:rsid w:val="749864CA"/>
    <w:rsid w:val="753D35AB"/>
    <w:rsid w:val="753E21EA"/>
    <w:rsid w:val="75FE2B1D"/>
    <w:rsid w:val="76696C69"/>
    <w:rsid w:val="766B361A"/>
    <w:rsid w:val="76C45286"/>
    <w:rsid w:val="770F2D47"/>
    <w:rsid w:val="773B5910"/>
    <w:rsid w:val="776F0D09"/>
    <w:rsid w:val="7854756F"/>
    <w:rsid w:val="788D6F71"/>
    <w:rsid w:val="7A5914BF"/>
    <w:rsid w:val="7A9A129A"/>
    <w:rsid w:val="7B180F44"/>
    <w:rsid w:val="7B6A28EE"/>
    <w:rsid w:val="7C2045FA"/>
    <w:rsid w:val="7C7F4569"/>
    <w:rsid w:val="7D1239D0"/>
    <w:rsid w:val="7D96394C"/>
    <w:rsid w:val="7E3845C9"/>
    <w:rsid w:val="7E8E526F"/>
    <w:rsid w:val="7FDE3424"/>
    <w:rsid w:val="7FF7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character" w:customStyle="1" w:styleId="9">
    <w:name w:val="页眉 字符"/>
    <w:basedOn w:val="8"/>
    <w:link w:val="5"/>
    <w:qFormat/>
    <w:uiPriority w:val="99"/>
    <w:rPr>
      <w:sz w:val="18"/>
      <w:szCs w:val="18"/>
    </w:rPr>
  </w:style>
  <w:style w:type="character" w:customStyle="1" w:styleId="10">
    <w:name w:val="批注框文本 字符"/>
    <w:basedOn w:val="8"/>
    <w:link w:val="3"/>
    <w:semiHidden/>
    <w:qFormat/>
    <w:uiPriority w:val="99"/>
    <w:rPr>
      <w:sz w:val="18"/>
      <w:szCs w:val="18"/>
    </w:rPr>
  </w:style>
  <w:style w:type="character" w:customStyle="1" w:styleId="11">
    <w:name w:val="标题 1 字符"/>
    <w:basedOn w:val="8"/>
    <w:link w:val="2"/>
    <w:qFormat/>
    <w:uiPriority w:val="9"/>
    <w:rPr>
      <w:rFonts w:ascii="宋体" w:hAnsi="宋体" w:eastAsia="宋体" w:cs="宋体"/>
      <w:b/>
      <w:bCs/>
      <w:kern w:val="36"/>
      <w:sz w:val="48"/>
      <w:szCs w:val="4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6544DE-7EF6-443E-8A64-EEF6E5DFF7C9}">
  <ds:schemaRefs/>
</ds:datastoreItem>
</file>

<file path=docProps/app.xml><?xml version="1.0" encoding="utf-8"?>
<Properties xmlns="http://schemas.openxmlformats.org/officeDocument/2006/extended-properties" xmlns:vt="http://schemas.openxmlformats.org/officeDocument/2006/docPropsVTypes">
  <Template>Normal</Template>
  <Pages>2</Pages>
  <Words>122</Words>
  <Characters>699</Characters>
  <Lines>5</Lines>
  <Paragraphs>1</Paragraphs>
  <TotalTime>76</TotalTime>
  <ScaleCrop>false</ScaleCrop>
  <LinksUpToDate>false</LinksUpToDate>
  <CharactersWithSpaces>820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2019-10-13T14:14:00Z</dcterms:created>
  <dc:creator>李恒樟</dc:creator>
  <cp:lastModifiedBy>微笑</cp:lastModifiedBy>
  <cp:lastPrinted>2019-12-14T12:40:00Z</cp:lastPrinted>
  <dcterms:modified xsi:type="dcterms:W3CDTF">2021-03-17T05:21:22Z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