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14379" w14:textId="2BDB1F33" w:rsidR="004E0B8D" w:rsidRPr="004E0B8D" w:rsidRDefault="004E0B8D" w:rsidP="002C14EF">
      <w:pPr>
        <w:widowControl/>
        <w:shd w:val="clear" w:color="auto" w:fill="FFFFFF"/>
        <w:spacing w:after="336"/>
        <w:jc w:val="center"/>
        <w:rPr>
          <w:rFonts w:ascii="黑体" w:eastAsia="黑体" w:hAnsi="黑体" w:cs="宋体"/>
          <w:b/>
          <w:bCs/>
          <w:color w:val="121212"/>
          <w:kern w:val="0"/>
          <w:sz w:val="36"/>
          <w:szCs w:val="36"/>
        </w:rPr>
      </w:pPr>
      <w:r w:rsidRPr="004E0B8D">
        <w:rPr>
          <w:rFonts w:ascii="黑体" w:eastAsia="黑体" w:hAnsi="黑体" w:cs="宋体" w:hint="eastAsia"/>
          <w:b/>
          <w:bCs/>
          <w:color w:val="121212"/>
          <w:kern w:val="0"/>
          <w:sz w:val="36"/>
          <w:szCs w:val="36"/>
        </w:rPr>
        <w:t>基金排行</w:t>
      </w:r>
      <w:r w:rsidR="002874CD">
        <w:rPr>
          <w:rFonts w:ascii="黑体" w:eastAsia="黑体" w:hAnsi="黑体" w:cs="宋体" w:hint="eastAsia"/>
          <w:b/>
          <w:bCs/>
          <w:color w:val="121212"/>
          <w:kern w:val="0"/>
          <w:sz w:val="36"/>
          <w:szCs w:val="36"/>
        </w:rPr>
        <w:t>-</w:t>
      </w:r>
      <w:r w:rsidR="002874CD">
        <w:rPr>
          <w:rFonts w:ascii="黑体" w:eastAsia="黑体" w:hAnsi="黑体" w:cs="宋体"/>
          <w:b/>
          <w:bCs/>
          <w:color w:val="121212"/>
          <w:kern w:val="0"/>
          <w:sz w:val="36"/>
          <w:szCs w:val="36"/>
        </w:rPr>
        <w:t>210</w:t>
      </w:r>
      <w:r w:rsidR="00133513">
        <w:rPr>
          <w:rFonts w:ascii="黑体" w:eastAsia="黑体" w:hAnsi="黑体" w:cs="宋体"/>
          <w:b/>
          <w:bCs/>
          <w:color w:val="121212"/>
          <w:kern w:val="0"/>
          <w:sz w:val="36"/>
          <w:szCs w:val="36"/>
        </w:rPr>
        <w:t>3</w:t>
      </w:r>
    </w:p>
    <w:p w14:paraId="6C3C9E32" w14:textId="234BF20B" w:rsidR="004E0B8D" w:rsidRDefault="004E0B8D" w:rsidP="004E0B8D">
      <w:pPr>
        <w:widowControl/>
        <w:shd w:val="clear" w:color="auto" w:fill="FFFFFF"/>
        <w:spacing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本文从基金业绩排行出发，筛选各种类中的优质基金，并做一个简单的排行。首先明确几个概念。</w:t>
      </w:r>
    </w:p>
    <w:p w14:paraId="6086CCAA" w14:textId="4478E02B" w:rsidR="004E0B8D" w:rsidRPr="004E0B8D" w:rsidRDefault="004E0B8D" w:rsidP="004E0B8D">
      <w:pPr>
        <w:widowControl/>
        <w:shd w:val="clear" w:color="auto" w:fill="FFFFFF"/>
        <w:spacing w:after="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1.波动率：波动率是金融资产价格的波动程度，是对</w:t>
      </w:r>
      <w:hyperlink r:id="rId4" w:tgtFrame="_blank" w:history="1">
        <w:r w:rsidRPr="004E0B8D">
          <w:rPr>
            <w:rFonts w:ascii="宋体" w:eastAsia="宋体" w:hAnsi="宋体" w:cs="宋体" w:hint="eastAsia"/>
            <w:color w:val="121212"/>
            <w:kern w:val="0"/>
            <w:sz w:val="24"/>
            <w:szCs w:val="24"/>
          </w:rPr>
          <w:t>资产收益率</w:t>
        </w:r>
      </w:hyperlink>
      <w:hyperlink r:id="rId5" w:tgtFrame="_blank" w:history="1">
        <w:r w:rsidRPr="004E0B8D">
          <w:rPr>
            <w:rFonts w:ascii="宋体" w:eastAsia="宋体" w:hAnsi="宋体" w:cs="宋体" w:hint="eastAsia"/>
            <w:color w:val="121212"/>
            <w:kern w:val="0"/>
            <w:sz w:val="24"/>
            <w:szCs w:val="24"/>
          </w:rPr>
          <w:t>不确定性</w:t>
        </w:r>
      </w:hyperlink>
      <w:r w:rsidRPr="004E0B8D">
        <w:rPr>
          <w:rFonts w:ascii="宋体" w:eastAsia="宋体" w:hAnsi="宋体" w:cs="宋体" w:hint="eastAsia"/>
          <w:color w:val="121212"/>
          <w:kern w:val="0"/>
          <w:sz w:val="24"/>
          <w:szCs w:val="24"/>
        </w:rPr>
        <w:t>的衡量，用于反映</w:t>
      </w:r>
      <w:hyperlink r:id="rId6" w:tgtFrame="_blank" w:history="1">
        <w:r w:rsidRPr="004E0B8D">
          <w:rPr>
            <w:rFonts w:ascii="宋体" w:eastAsia="宋体" w:hAnsi="宋体" w:cs="宋体" w:hint="eastAsia"/>
            <w:color w:val="121212"/>
            <w:kern w:val="0"/>
            <w:sz w:val="24"/>
            <w:szCs w:val="24"/>
          </w:rPr>
          <w:t>金融资产</w:t>
        </w:r>
      </w:hyperlink>
      <w:r w:rsidRPr="004E0B8D">
        <w:rPr>
          <w:rFonts w:ascii="宋体" w:eastAsia="宋体" w:hAnsi="宋体" w:cs="宋体" w:hint="eastAsia"/>
          <w:color w:val="121212"/>
          <w:kern w:val="0"/>
          <w:sz w:val="24"/>
          <w:szCs w:val="24"/>
        </w:rPr>
        <w:t>的风险水平。波动率越高，金融资产价格的波动越剧烈，资产收益率的不确定性就越强；波动率越低，金融资产价格的波动越平缓，资产收益率的确定性就越强。</w:t>
      </w:r>
    </w:p>
    <w:p w14:paraId="2E6671EC" w14:textId="16C2E6FF" w:rsidR="004E0B8D" w:rsidRPr="004E0B8D" w:rsidRDefault="004E0B8D" w:rsidP="004E0B8D">
      <w:pPr>
        <w:widowControl/>
        <w:shd w:val="clear" w:color="auto" w:fill="FFFFFF"/>
        <w:spacing w:before="336" w:after="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2.夏普比率:夏普比率（Sharpe Ratio），又被称为</w:t>
      </w:r>
      <w:proofErr w:type="gramStart"/>
      <w:r w:rsidRPr="004E0B8D">
        <w:rPr>
          <w:rFonts w:ascii="宋体" w:eastAsia="宋体" w:hAnsi="宋体" w:cs="宋体" w:hint="eastAsia"/>
          <w:color w:val="121212"/>
          <w:kern w:val="0"/>
          <w:sz w:val="24"/>
          <w:szCs w:val="24"/>
        </w:rPr>
        <w:t>夏普指数</w:t>
      </w:r>
      <w:proofErr w:type="gramEnd"/>
      <w:r w:rsidRPr="004E0B8D">
        <w:rPr>
          <w:rFonts w:ascii="宋体" w:eastAsia="宋体" w:hAnsi="宋体" w:cs="宋体" w:hint="eastAsia"/>
          <w:color w:val="121212"/>
          <w:kern w:val="0"/>
          <w:sz w:val="24"/>
          <w:szCs w:val="24"/>
        </w:rPr>
        <w:t xml:space="preserve"> --- 基金绩效评价标准化指标。风险调整后的</w:t>
      </w:r>
      <w:hyperlink r:id="rId7" w:tgtFrame="_blank" w:history="1">
        <w:r w:rsidRPr="004E0B8D">
          <w:rPr>
            <w:rFonts w:ascii="宋体" w:eastAsia="宋体" w:hAnsi="宋体" w:cs="宋体" w:hint="eastAsia"/>
            <w:color w:val="121212"/>
            <w:kern w:val="0"/>
            <w:sz w:val="24"/>
            <w:szCs w:val="24"/>
          </w:rPr>
          <w:t>收益率</w:t>
        </w:r>
      </w:hyperlink>
      <w:r w:rsidRPr="004E0B8D">
        <w:rPr>
          <w:rFonts w:ascii="宋体" w:eastAsia="宋体" w:hAnsi="宋体" w:cs="宋体" w:hint="eastAsia"/>
          <w:color w:val="121212"/>
          <w:kern w:val="0"/>
          <w:sz w:val="24"/>
          <w:szCs w:val="24"/>
        </w:rPr>
        <w:t>就是一个可以同时对收益与风险加以考虑的综合指标，长期能够排除</w:t>
      </w:r>
      <w:hyperlink r:id="rId8" w:tgtFrame="_blank" w:history="1">
        <w:r w:rsidRPr="004E0B8D">
          <w:rPr>
            <w:rFonts w:ascii="宋体" w:eastAsia="宋体" w:hAnsi="宋体" w:cs="宋体" w:hint="eastAsia"/>
            <w:color w:val="121212"/>
            <w:kern w:val="0"/>
            <w:sz w:val="24"/>
            <w:szCs w:val="24"/>
          </w:rPr>
          <w:t>风险因素</w:t>
        </w:r>
      </w:hyperlink>
      <w:r w:rsidRPr="004E0B8D">
        <w:rPr>
          <w:rFonts w:ascii="宋体" w:eastAsia="宋体" w:hAnsi="宋体" w:cs="宋体" w:hint="eastAsia"/>
          <w:color w:val="121212"/>
          <w:kern w:val="0"/>
          <w:sz w:val="24"/>
          <w:szCs w:val="24"/>
        </w:rPr>
        <w:t>对绩效评估的不利影响。夏普比率就是一个可以同时对收益与风险加以综合考虑的三大经典指标之一。 投资中有一个常规的特点，即投资标的</w:t>
      </w:r>
      <w:proofErr w:type="gramStart"/>
      <w:r w:rsidRPr="004E0B8D">
        <w:rPr>
          <w:rFonts w:ascii="宋体" w:eastAsia="宋体" w:hAnsi="宋体" w:cs="宋体" w:hint="eastAsia"/>
          <w:color w:val="121212"/>
          <w:kern w:val="0"/>
          <w:sz w:val="24"/>
          <w:szCs w:val="24"/>
        </w:rPr>
        <w:t>的</w:t>
      </w:r>
      <w:proofErr w:type="gramEnd"/>
      <w:r w:rsidRPr="004E0B8D">
        <w:rPr>
          <w:rFonts w:ascii="宋体" w:eastAsia="宋体" w:hAnsi="宋体" w:cs="宋体" w:hint="eastAsia"/>
          <w:color w:val="121212"/>
          <w:kern w:val="0"/>
          <w:sz w:val="24"/>
          <w:szCs w:val="24"/>
        </w:rPr>
        <w:t>预期报酬越高，投资人所能忍受的波动风险越高；反之，预期报酬越低，波动风险也越低。</w:t>
      </w:r>
    </w:p>
    <w:p w14:paraId="2B2D2E3F" w14:textId="77777777" w:rsidR="004E0B8D" w:rsidRPr="004E0B8D" w:rsidRDefault="004E0B8D" w:rsidP="004E0B8D">
      <w:pPr>
        <w:widowControl/>
        <w:shd w:val="clear" w:color="auto" w:fill="FFFFFF"/>
        <w:spacing w:before="336" w:after="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3.最大回撤:指在选定周期内任</w:t>
      </w:r>
      <w:proofErr w:type="gramStart"/>
      <w:r w:rsidRPr="004E0B8D">
        <w:rPr>
          <w:rFonts w:ascii="宋体" w:eastAsia="宋体" w:hAnsi="宋体" w:cs="宋体" w:hint="eastAsia"/>
          <w:color w:val="121212"/>
          <w:kern w:val="0"/>
          <w:sz w:val="24"/>
          <w:szCs w:val="24"/>
        </w:rPr>
        <w:t>一</w:t>
      </w:r>
      <w:proofErr w:type="gramEnd"/>
      <w:r w:rsidRPr="004E0B8D">
        <w:rPr>
          <w:rFonts w:ascii="宋体" w:eastAsia="宋体" w:hAnsi="宋体" w:cs="宋体" w:hint="eastAsia"/>
          <w:color w:val="121212"/>
          <w:kern w:val="0"/>
          <w:sz w:val="24"/>
          <w:szCs w:val="24"/>
        </w:rPr>
        <w:t>历史时点往后推，产品净值走到最低点时的收益率回撤幅度的最大值。最大回撤用来描述买入产品后可能出现的最糟糕的情况。最大回撤是一个重要的风险指标，对于</w:t>
      </w:r>
      <w:hyperlink r:id="rId9" w:tgtFrame="_blank" w:history="1">
        <w:r w:rsidRPr="004E0B8D">
          <w:rPr>
            <w:rFonts w:ascii="宋体" w:eastAsia="宋体" w:hAnsi="宋体" w:cs="宋体" w:hint="eastAsia"/>
            <w:color w:val="121212"/>
            <w:kern w:val="0"/>
            <w:sz w:val="24"/>
            <w:szCs w:val="24"/>
          </w:rPr>
          <w:t>对冲基金</w:t>
        </w:r>
      </w:hyperlink>
      <w:r w:rsidRPr="004E0B8D">
        <w:rPr>
          <w:rFonts w:ascii="宋体" w:eastAsia="宋体" w:hAnsi="宋体" w:cs="宋体" w:hint="eastAsia"/>
          <w:color w:val="121212"/>
          <w:kern w:val="0"/>
          <w:sz w:val="24"/>
          <w:szCs w:val="24"/>
        </w:rPr>
        <w:t>和数量化</w:t>
      </w:r>
      <w:hyperlink r:id="rId10" w:tgtFrame="_blank" w:history="1">
        <w:r w:rsidRPr="004E0B8D">
          <w:rPr>
            <w:rFonts w:ascii="宋体" w:eastAsia="宋体" w:hAnsi="宋体" w:cs="宋体" w:hint="eastAsia"/>
            <w:color w:val="121212"/>
            <w:kern w:val="0"/>
            <w:sz w:val="24"/>
            <w:szCs w:val="24"/>
          </w:rPr>
          <w:t>策略交易</w:t>
        </w:r>
      </w:hyperlink>
      <w:r w:rsidRPr="004E0B8D">
        <w:rPr>
          <w:rFonts w:ascii="宋体" w:eastAsia="宋体" w:hAnsi="宋体" w:cs="宋体" w:hint="eastAsia"/>
          <w:color w:val="121212"/>
          <w:kern w:val="0"/>
          <w:sz w:val="24"/>
          <w:szCs w:val="24"/>
        </w:rPr>
        <w:t>，该指标比波动率还重要。</w:t>
      </w:r>
    </w:p>
    <w:p w14:paraId="7F53F39C" w14:textId="092E5EAD" w:rsid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本文中的波动率、夏普比率和最大回撤统一指</w:t>
      </w:r>
      <w:r w:rsidRPr="004E0B8D">
        <w:rPr>
          <w:rFonts w:ascii="宋体" w:eastAsia="宋体" w:hAnsi="宋体" w:cs="宋体" w:hint="eastAsia"/>
          <w:b/>
          <w:bCs/>
          <w:color w:val="121212"/>
          <w:kern w:val="0"/>
          <w:sz w:val="24"/>
          <w:szCs w:val="24"/>
        </w:rPr>
        <w:t>近</w:t>
      </w:r>
      <w:r w:rsidR="00304259">
        <w:rPr>
          <w:rFonts w:ascii="宋体" w:eastAsia="宋体" w:hAnsi="宋体" w:cs="宋体" w:hint="eastAsia"/>
          <w:b/>
          <w:bCs/>
          <w:color w:val="121212"/>
          <w:kern w:val="0"/>
          <w:sz w:val="24"/>
          <w:szCs w:val="24"/>
        </w:rPr>
        <w:t>两</w:t>
      </w:r>
      <w:r w:rsidRPr="004E0B8D">
        <w:rPr>
          <w:rFonts w:ascii="宋体" w:eastAsia="宋体" w:hAnsi="宋体" w:cs="宋体" w:hint="eastAsia"/>
          <w:b/>
          <w:bCs/>
          <w:color w:val="121212"/>
          <w:kern w:val="0"/>
          <w:sz w:val="24"/>
          <w:szCs w:val="24"/>
        </w:rPr>
        <w:t>年</w:t>
      </w:r>
      <w:r w:rsidR="00304259" w:rsidRPr="00304259">
        <w:rPr>
          <w:rFonts w:ascii="宋体" w:eastAsia="宋体" w:hAnsi="宋体" w:cs="宋体" w:hint="eastAsia"/>
          <w:bCs/>
          <w:color w:val="121212"/>
          <w:kern w:val="0"/>
          <w:sz w:val="24"/>
          <w:szCs w:val="24"/>
        </w:rPr>
        <w:t>或</w:t>
      </w:r>
      <w:r w:rsidR="00304259">
        <w:rPr>
          <w:rFonts w:ascii="宋体" w:eastAsia="宋体" w:hAnsi="宋体" w:cs="宋体" w:hint="eastAsia"/>
          <w:b/>
          <w:bCs/>
          <w:color w:val="121212"/>
          <w:kern w:val="0"/>
          <w:sz w:val="24"/>
          <w:szCs w:val="24"/>
        </w:rPr>
        <w:t>近三年</w:t>
      </w:r>
      <w:r w:rsidRPr="004E0B8D">
        <w:rPr>
          <w:rFonts w:ascii="宋体" w:eastAsia="宋体" w:hAnsi="宋体" w:cs="宋体" w:hint="eastAsia"/>
          <w:color w:val="121212"/>
          <w:kern w:val="0"/>
          <w:sz w:val="24"/>
          <w:szCs w:val="24"/>
        </w:rPr>
        <w:t>指标。</w:t>
      </w:r>
    </w:p>
    <w:p w14:paraId="52F2BF81" w14:textId="3322BE04" w:rsidR="00C51F4F" w:rsidRPr="00C51F4F" w:rsidRDefault="00C51F4F" w:rsidP="004E0B8D">
      <w:pPr>
        <w:widowControl/>
        <w:shd w:val="clear" w:color="auto" w:fill="FFFFFF"/>
        <w:spacing w:before="336" w:after="336"/>
        <w:ind w:firstLineChars="200" w:firstLine="482"/>
        <w:jc w:val="left"/>
        <w:rPr>
          <w:rFonts w:ascii="宋体" w:eastAsia="宋体" w:hAnsi="宋体" w:cs="宋体" w:hint="eastAsia"/>
          <w:b/>
          <w:bCs/>
          <w:color w:val="121212"/>
          <w:kern w:val="0"/>
          <w:sz w:val="24"/>
          <w:szCs w:val="24"/>
        </w:rPr>
      </w:pPr>
      <w:r w:rsidRPr="00C51F4F">
        <w:rPr>
          <w:rFonts w:ascii="宋体" w:eastAsia="宋体" w:hAnsi="宋体" w:cs="宋体" w:hint="eastAsia"/>
          <w:b/>
          <w:bCs/>
          <w:color w:val="121212"/>
          <w:kern w:val="0"/>
          <w:sz w:val="24"/>
          <w:szCs w:val="24"/>
        </w:rPr>
        <w:t>近三年中，沪深3</w:t>
      </w:r>
      <w:r w:rsidRPr="00C51F4F">
        <w:rPr>
          <w:rFonts w:ascii="宋体" w:eastAsia="宋体" w:hAnsi="宋体" w:cs="宋体"/>
          <w:b/>
          <w:bCs/>
          <w:color w:val="121212"/>
          <w:kern w:val="0"/>
          <w:sz w:val="24"/>
          <w:szCs w:val="24"/>
        </w:rPr>
        <w:t xml:space="preserve">00 </w:t>
      </w:r>
      <w:r w:rsidRPr="00C51F4F">
        <w:rPr>
          <w:rFonts w:ascii="宋体" w:eastAsia="宋体" w:hAnsi="宋体" w:cs="宋体" w:hint="eastAsia"/>
          <w:b/>
          <w:bCs/>
          <w:color w:val="121212"/>
          <w:kern w:val="0"/>
          <w:sz w:val="24"/>
          <w:szCs w:val="24"/>
        </w:rPr>
        <w:t>夏普比例为0</w:t>
      </w:r>
      <w:r w:rsidRPr="00C51F4F">
        <w:rPr>
          <w:rFonts w:ascii="宋体" w:eastAsia="宋体" w:hAnsi="宋体" w:cs="宋体"/>
          <w:b/>
          <w:bCs/>
          <w:color w:val="121212"/>
          <w:kern w:val="0"/>
          <w:sz w:val="24"/>
          <w:szCs w:val="24"/>
        </w:rPr>
        <w:t>.35</w:t>
      </w:r>
      <w:r w:rsidRPr="00C51F4F">
        <w:rPr>
          <w:rFonts w:ascii="宋体" w:eastAsia="宋体" w:hAnsi="宋体" w:cs="宋体" w:hint="eastAsia"/>
          <w:b/>
          <w:bCs/>
          <w:color w:val="121212"/>
          <w:kern w:val="0"/>
          <w:sz w:val="24"/>
          <w:szCs w:val="24"/>
        </w:rPr>
        <w:t>，最大回撤为-</w:t>
      </w:r>
      <w:r w:rsidRPr="00C51F4F">
        <w:rPr>
          <w:rFonts w:ascii="宋体" w:eastAsia="宋体" w:hAnsi="宋体" w:cs="宋体"/>
          <w:b/>
          <w:bCs/>
          <w:color w:val="121212"/>
          <w:kern w:val="0"/>
          <w:sz w:val="24"/>
          <w:szCs w:val="24"/>
        </w:rPr>
        <w:t>28.17</w:t>
      </w:r>
      <w:r w:rsidRPr="00C51F4F">
        <w:rPr>
          <w:rFonts w:ascii="宋体" w:eastAsia="宋体" w:hAnsi="宋体" w:cs="宋体" w:hint="eastAsia"/>
          <w:b/>
          <w:bCs/>
          <w:color w:val="121212"/>
          <w:kern w:val="0"/>
          <w:sz w:val="24"/>
          <w:szCs w:val="24"/>
        </w:rPr>
        <w:t>%，波动率为2</w:t>
      </w:r>
      <w:r w:rsidRPr="00C51F4F">
        <w:rPr>
          <w:rFonts w:ascii="宋体" w:eastAsia="宋体" w:hAnsi="宋体" w:cs="宋体"/>
          <w:b/>
          <w:bCs/>
          <w:color w:val="121212"/>
          <w:kern w:val="0"/>
          <w:sz w:val="24"/>
          <w:szCs w:val="24"/>
        </w:rPr>
        <w:t>1.54</w:t>
      </w:r>
      <w:r w:rsidRPr="00C51F4F">
        <w:rPr>
          <w:rFonts w:ascii="宋体" w:eastAsia="宋体" w:hAnsi="宋体" w:cs="宋体" w:hint="eastAsia"/>
          <w:b/>
          <w:bCs/>
          <w:color w:val="121212"/>
          <w:kern w:val="0"/>
          <w:sz w:val="24"/>
          <w:szCs w:val="24"/>
        </w:rPr>
        <w:t>%</w:t>
      </w:r>
      <w:r>
        <w:rPr>
          <w:rFonts w:ascii="宋体" w:eastAsia="宋体" w:hAnsi="宋体" w:cs="宋体"/>
          <w:b/>
          <w:bCs/>
          <w:color w:val="121212"/>
          <w:kern w:val="0"/>
          <w:sz w:val="24"/>
          <w:szCs w:val="24"/>
        </w:rPr>
        <w:t xml:space="preserve"> </w:t>
      </w:r>
      <w:r>
        <w:rPr>
          <w:rFonts w:ascii="宋体" w:eastAsia="宋体" w:hAnsi="宋体" w:cs="宋体" w:hint="eastAsia"/>
          <w:b/>
          <w:bCs/>
          <w:color w:val="121212"/>
          <w:kern w:val="0"/>
          <w:sz w:val="24"/>
          <w:szCs w:val="24"/>
        </w:rPr>
        <w:t>。</w:t>
      </w:r>
    </w:p>
    <w:p w14:paraId="52B5A7E0" w14:textId="4AA0E6FD" w:rsidR="004E0B8D" w:rsidRP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股票型：选取</w:t>
      </w:r>
      <w:r w:rsidR="00304259">
        <w:rPr>
          <w:rFonts w:ascii="宋体" w:eastAsia="宋体" w:hAnsi="宋体" w:cs="宋体" w:hint="eastAsia"/>
          <w:color w:val="121212"/>
          <w:kern w:val="0"/>
          <w:sz w:val="24"/>
          <w:szCs w:val="24"/>
        </w:rPr>
        <w:t>近1月、</w:t>
      </w:r>
      <w:r w:rsidRPr="004E0B8D">
        <w:rPr>
          <w:rFonts w:ascii="宋体" w:eastAsia="宋体" w:hAnsi="宋体" w:cs="宋体" w:hint="eastAsia"/>
          <w:color w:val="121212"/>
          <w:kern w:val="0"/>
          <w:sz w:val="24"/>
          <w:szCs w:val="24"/>
        </w:rPr>
        <w:t>近3月、近6月、近1年、近2年、</w:t>
      </w:r>
      <w:r w:rsidR="00304259">
        <w:rPr>
          <w:rFonts w:ascii="宋体" w:eastAsia="宋体" w:hAnsi="宋体" w:cs="宋体" w:hint="eastAsia"/>
          <w:color w:val="121212"/>
          <w:kern w:val="0"/>
          <w:sz w:val="24"/>
          <w:szCs w:val="24"/>
        </w:rPr>
        <w:t>今年以来</w:t>
      </w:r>
      <w:r w:rsidRPr="004E0B8D">
        <w:rPr>
          <w:rFonts w:ascii="宋体" w:eastAsia="宋体" w:hAnsi="宋体" w:cs="宋体" w:hint="eastAsia"/>
          <w:color w:val="121212"/>
          <w:kern w:val="0"/>
          <w:sz w:val="24"/>
          <w:szCs w:val="24"/>
        </w:rPr>
        <w:t>业绩排行前</w:t>
      </w:r>
      <w:r w:rsidR="00C51F4F">
        <w:rPr>
          <w:rFonts w:ascii="宋体" w:eastAsia="宋体" w:hAnsi="宋体" w:cs="宋体"/>
          <w:color w:val="121212"/>
          <w:kern w:val="0"/>
          <w:sz w:val="24"/>
          <w:szCs w:val="24"/>
        </w:rPr>
        <w:t>1</w:t>
      </w:r>
      <w:r w:rsidR="00C51F4F">
        <w:rPr>
          <w:rFonts w:ascii="宋体" w:eastAsia="宋体" w:hAnsi="宋体" w:cs="宋体" w:hint="eastAsia"/>
          <w:color w:val="121212"/>
          <w:kern w:val="0"/>
          <w:sz w:val="24"/>
          <w:szCs w:val="24"/>
        </w:rPr>
        <w:t>/</w:t>
      </w:r>
      <w:r w:rsidR="00C51F4F">
        <w:rPr>
          <w:rFonts w:ascii="宋体" w:eastAsia="宋体" w:hAnsi="宋体" w:cs="宋体"/>
          <w:color w:val="121212"/>
          <w:kern w:val="0"/>
          <w:sz w:val="24"/>
          <w:szCs w:val="24"/>
        </w:rPr>
        <w:t>3</w:t>
      </w:r>
      <w:r w:rsidRPr="004E0B8D">
        <w:rPr>
          <w:rFonts w:ascii="宋体" w:eastAsia="宋体" w:hAnsi="宋体" w:cs="宋体" w:hint="eastAsia"/>
          <w:color w:val="121212"/>
          <w:kern w:val="0"/>
          <w:sz w:val="24"/>
          <w:szCs w:val="24"/>
        </w:rPr>
        <w:t>，</w:t>
      </w:r>
      <w:r w:rsidR="00C51F4F">
        <w:rPr>
          <w:rFonts w:ascii="宋体" w:eastAsia="宋体" w:hAnsi="宋体" w:cs="宋体" w:hint="eastAsia"/>
          <w:color w:val="121212"/>
          <w:kern w:val="0"/>
          <w:sz w:val="24"/>
          <w:szCs w:val="24"/>
        </w:rPr>
        <w:t>近1月、</w:t>
      </w:r>
      <w:r w:rsidR="00C51F4F" w:rsidRPr="00C51F4F">
        <w:rPr>
          <w:rFonts w:ascii="宋体" w:eastAsia="宋体" w:hAnsi="宋体" w:cs="宋体"/>
          <w:color w:val="121212"/>
          <w:kern w:val="0"/>
          <w:sz w:val="24"/>
          <w:szCs w:val="24"/>
        </w:rPr>
        <w:t>2020年、2019年</w:t>
      </w:r>
      <w:r w:rsidR="00C51F4F">
        <w:rPr>
          <w:rFonts w:ascii="宋体" w:eastAsia="宋体" w:hAnsi="宋体" w:cs="宋体" w:hint="eastAsia"/>
          <w:color w:val="121212"/>
          <w:kern w:val="0"/>
          <w:sz w:val="24"/>
          <w:szCs w:val="24"/>
        </w:rPr>
        <w:t>业绩排行前</w:t>
      </w:r>
      <w:r w:rsidR="00C51F4F" w:rsidRPr="00C51F4F">
        <w:rPr>
          <w:rFonts w:ascii="宋体" w:eastAsia="宋体" w:hAnsi="宋体" w:cs="宋体"/>
          <w:color w:val="121212"/>
          <w:kern w:val="0"/>
          <w:sz w:val="24"/>
          <w:szCs w:val="24"/>
        </w:rPr>
        <w:t>1/2</w:t>
      </w:r>
      <w:r w:rsidR="00C51F4F">
        <w:rPr>
          <w:rFonts w:ascii="宋体" w:eastAsia="宋体" w:hAnsi="宋体" w:cs="宋体" w:hint="eastAsia"/>
          <w:color w:val="121212"/>
          <w:kern w:val="0"/>
          <w:sz w:val="24"/>
          <w:szCs w:val="24"/>
        </w:rPr>
        <w:t>，</w:t>
      </w:r>
      <w:r w:rsidRPr="004E0B8D">
        <w:rPr>
          <w:rFonts w:ascii="宋体" w:eastAsia="宋体" w:hAnsi="宋体" w:cs="宋体" w:hint="eastAsia"/>
          <w:color w:val="121212"/>
          <w:kern w:val="0"/>
          <w:sz w:val="24"/>
          <w:szCs w:val="24"/>
        </w:rPr>
        <w:t>基金规模大于2亿以上，基金经理从业3年以上，夏普比率大于1的基金。 如图所示：</w:t>
      </w:r>
    </w:p>
    <w:p w14:paraId="1DF60E20" w14:textId="2CFEABD0" w:rsidR="004E0B8D" w:rsidRPr="004E0B8D" w:rsidRDefault="00C51F4F" w:rsidP="004E0B8D">
      <w:pPr>
        <w:widowControl/>
        <w:jc w:val="left"/>
        <w:rPr>
          <w:rFonts w:ascii="宋体" w:eastAsia="宋体" w:hAnsi="宋体" w:cs="宋体"/>
          <w:kern w:val="0"/>
          <w:sz w:val="24"/>
          <w:szCs w:val="24"/>
        </w:rPr>
      </w:pPr>
      <w:r>
        <w:rPr>
          <w:noProof/>
        </w:rPr>
        <w:drawing>
          <wp:inline distT="0" distB="0" distL="0" distR="0" wp14:anchorId="41121EB5" wp14:editId="7D6C679C">
            <wp:extent cx="5274310" cy="718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18185"/>
                    </a:xfrm>
                    <a:prstGeom prst="rect">
                      <a:avLst/>
                    </a:prstGeom>
                  </pic:spPr>
                </pic:pic>
              </a:graphicData>
            </a:graphic>
          </wp:inline>
        </w:drawing>
      </w:r>
    </w:p>
    <w:p w14:paraId="03889BA0" w14:textId="78B6CFC2" w:rsidR="004E0B8D" w:rsidRP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混合型：</w:t>
      </w:r>
      <w:r w:rsidR="00304259" w:rsidRPr="004E0B8D">
        <w:rPr>
          <w:rFonts w:ascii="宋体" w:eastAsia="宋体" w:hAnsi="宋体" w:cs="宋体" w:hint="eastAsia"/>
          <w:color w:val="121212"/>
          <w:kern w:val="0"/>
          <w:sz w:val="24"/>
          <w:szCs w:val="24"/>
        </w:rPr>
        <w:t>选取</w:t>
      </w:r>
      <w:r w:rsidR="00304259">
        <w:rPr>
          <w:rFonts w:ascii="宋体" w:eastAsia="宋体" w:hAnsi="宋体" w:cs="宋体" w:hint="eastAsia"/>
          <w:color w:val="121212"/>
          <w:kern w:val="0"/>
          <w:sz w:val="24"/>
          <w:szCs w:val="24"/>
        </w:rPr>
        <w:t>近1月</w:t>
      </w:r>
      <w:r w:rsidR="00C51F4F">
        <w:rPr>
          <w:rFonts w:ascii="宋体" w:eastAsia="宋体" w:hAnsi="宋体" w:cs="宋体" w:hint="eastAsia"/>
          <w:color w:val="121212"/>
          <w:kern w:val="0"/>
          <w:sz w:val="24"/>
          <w:szCs w:val="24"/>
        </w:rPr>
        <w:t>、</w:t>
      </w:r>
      <w:r w:rsidR="00C51F4F">
        <w:rPr>
          <w:rFonts w:ascii="宋体" w:eastAsia="宋体" w:hAnsi="宋体" w:cs="宋体" w:hint="eastAsia"/>
          <w:color w:val="121212"/>
          <w:kern w:val="0"/>
          <w:sz w:val="24"/>
          <w:szCs w:val="24"/>
        </w:rPr>
        <w:t>今年以来</w:t>
      </w:r>
      <w:r w:rsidR="00C51F4F" w:rsidRPr="004E0B8D">
        <w:rPr>
          <w:rFonts w:ascii="宋体" w:eastAsia="宋体" w:hAnsi="宋体" w:cs="宋体" w:hint="eastAsia"/>
          <w:color w:val="121212"/>
          <w:kern w:val="0"/>
          <w:sz w:val="24"/>
          <w:szCs w:val="24"/>
        </w:rPr>
        <w:t>业绩排行前</w:t>
      </w:r>
      <w:r w:rsidR="00C51F4F">
        <w:rPr>
          <w:rFonts w:ascii="宋体" w:eastAsia="宋体" w:hAnsi="宋体" w:cs="宋体"/>
          <w:color w:val="121212"/>
          <w:kern w:val="0"/>
          <w:sz w:val="24"/>
          <w:szCs w:val="24"/>
        </w:rPr>
        <w:t>1</w:t>
      </w:r>
      <w:r w:rsidR="00C51F4F">
        <w:rPr>
          <w:rFonts w:ascii="宋体" w:eastAsia="宋体" w:hAnsi="宋体" w:cs="宋体" w:hint="eastAsia"/>
          <w:color w:val="121212"/>
          <w:kern w:val="0"/>
          <w:sz w:val="24"/>
          <w:szCs w:val="24"/>
        </w:rPr>
        <w:t>/</w:t>
      </w:r>
      <w:r w:rsidR="00C51F4F">
        <w:rPr>
          <w:rFonts w:ascii="宋体" w:eastAsia="宋体" w:hAnsi="宋体" w:cs="宋体"/>
          <w:color w:val="121212"/>
          <w:kern w:val="0"/>
          <w:sz w:val="24"/>
          <w:szCs w:val="24"/>
        </w:rPr>
        <w:t>2</w:t>
      </w:r>
      <w:r w:rsidR="00C51F4F">
        <w:rPr>
          <w:rFonts w:ascii="宋体" w:eastAsia="宋体" w:hAnsi="宋体" w:cs="宋体" w:hint="eastAsia"/>
          <w:color w:val="121212"/>
          <w:kern w:val="0"/>
          <w:sz w:val="24"/>
          <w:szCs w:val="24"/>
        </w:rPr>
        <w:t>，</w:t>
      </w:r>
      <w:r w:rsidR="00304259" w:rsidRPr="004E0B8D">
        <w:rPr>
          <w:rFonts w:ascii="宋体" w:eastAsia="宋体" w:hAnsi="宋体" w:cs="宋体" w:hint="eastAsia"/>
          <w:color w:val="121212"/>
          <w:kern w:val="0"/>
          <w:sz w:val="24"/>
          <w:szCs w:val="24"/>
        </w:rPr>
        <w:t>近3月、近6月、近1年、近2年、</w:t>
      </w:r>
      <w:r w:rsidR="00C51F4F">
        <w:rPr>
          <w:rFonts w:ascii="宋体" w:eastAsia="宋体" w:hAnsi="宋体" w:cs="宋体" w:hint="eastAsia"/>
          <w:color w:val="121212"/>
          <w:kern w:val="0"/>
          <w:sz w:val="24"/>
          <w:szCs w:val="24"/>
        </w:rPr>
        <w:t>近3年</w:t>
      </w:r>
      <w:r w:rsidRPr="004E0B8D">
        <w:rPr>
          <w:rFonts w:ascii="宋体" w:eastAsia="宋体" w:hAnsi="宋体" w:cs="宋体" w:hint="eastAsia"/>
          <w:color w:val="121212"/>
          <w:kern w:val="0"/>
          <w:sz w:val="24"/>
          <w:szCs w:val="24"/>
        </w:rPr>
        <w:t>业绩排行前</w:t>
      </w:r>
      <w:r w:rsidR="00C51F4F">
        <w:rPr>
          <w:rFonts w:ascii="宋体" w:eastAsia="宋体" w:hAnsi="宋体" w:cs="宋体"/>
          <w:color w:val="121212"/>
          <w:kern w:val="0"/>
          <w:sz w:val="24"/>
          <w:szCs w:val="24"/>
        </w:rPr>
        <w:t>1</w:t>
      </w:r>
      <w:r w:rsidR="00C51F4F">
        <w:rPr>
          <w:rFonts w:ascii="宋体" w:eastAsia="宋体" w:hAnsi="宋体" w:cs="宋体" w:hint="eastAsia"/>
          <w:color w:val="121212"/>
          <w:kern w:val="0"/>
          <w:sz w:val="24"/>
          <w:szCs w:val="24"/>
        </w:rPr>
        <w:t>/</w:t>
      </w:r>
      <w:r w:rsidR="00C51F4F">
        <w:rPr>
          <w:rFonts w:ascii="宋体" w:eastAsia="宋体" w:hAnsi="宋体" w:cs="宋体"/>
          <w:color w:val="121212"/>
          <w:kern w:val="0"/>
          <w:sz w:val="24"/>
          <w:szCs w:val="24"/>
        </w:rPr>
        <w:t>4</w:t>
      </w:r>
      <w:r w:rsidRPr="004E0B8D">
        <w:rPr>
          <w:rFonts w:ascii="宋体" w:eastAsia="宋体" w:hAnsi="宋体" w:cs="宋体" w:hint="eastAsia"/>
          <w:color w:val="121212"/>
          <w:kern w:val="0"/>
          <w:sz w:val="24"/>
          <w:szCs w:val="24"/>
        </w:rPr>
        <w:t>，</w:t>
      </w:r>
      <w:r w:rsidR="00C51F4F" w:rsidRPr="00C51F4F">
        <w:rPr>
          <w:rFonts w:ascii="宋体" w:eastAsia="宋体" w:hAnsi="宋体" w:cs="宋体"/>
          <w:color w:val="121212"/>
          <w:kern w:val="0"/>
          <w:sz w:val="24"/>
          <w:szCs w:val="24"/>
        </w:rPr>
        <w:t>2020年</w:t>
      </w:r>
      <w:r w:rsidR="00C51F4F">
        <w:rPr>
          <w:rFonts w:ascii="宋体" w:eastAsia="宋体" w:hAnsi="宋体" w:cs="宋体" w:hint="eastAsia"/>
          <w:color w:val="121212"/>
          <w:kern w:val="0"/>
          <w:sz w:val="24"/>
          <w:szCs w:val="24"/>
        </w:rPr>
        <w:t>业绩排行前</w:t>
      </w:r>
      <w:r w:rsidR="00C51F4F" w:rsidRPr="00C51F4F">
        <w:rPr>
          <w:rFonts w:ascii="宋体" w:eastAsia="宋体" w:hAnsi="宋体" w:cs="宋体"/>
          <w:color w:val="121212"/>
          <w:kern w:val="0"/>
          <w:sz w:val="24"/>
          <w:szCs w:val="24"/>
        </w:rPr>
        <w:t>1/</w:t>
      </w:r>
      <w:r w:rsidR="00C51F4F">
        <w:rPr>
          <w:rFonts w:ascii="宋体" w:eastAsia="宋体" w:hAnsi="宋体" w:cs="宋体"/>
          <w:color w:val="121212"/>
          <w:kern w:val="0"/>
          <w:sz w:val="24"/>
          <w:szCs w:val="24"/>
        </w:rPr>
        <w:t>4</w:t>
      </w:r>
      <w:r w:rsidR="00C51F4F" w:rsidRPr="00C51F4F">
        <w:rPr>
          <w:rFonts w:ascii="宋体" w:eastAsia="宋体" w:hAnsi="宋体" w:cs="宋体"/>
          <w:color w:val="121212"/>
          <w:kern w:val="0"/>
          <w:sz w:val="24"/>
          <w:szCs w:val="24"/>
        </w:rPr>
        <w:t>、2019年</w:t>
      </w:r>
      <w:r w:rsidR="00C51F4F">
        <w:rPr>
          <w:rFonts w:ascii="宋体" w:eastAsia="宋体" w:hAnsi="宋体" w:cs="宋体" w:hint="eastAsia"/>
          <w:color w:val="121212"/>
          <w:kern w:val="0"/>
          <w:sz w:val="24"/>
          <w:szCs w:val="24"/>
        </w:rPr>
        <w:t>业绩排行前</w:t>
      </w:r>
      <w:r w:rsidR="00C51F4F" w:rsidRPr="00C51F4F">
        <w:rPr>
          <w:rFonts w:ascii="宋体" w:eastAsia="宋体" w:hAnsi="宋体" w:cs="宋体"/>
          <w:color w:val="121212"/>
          <w:kern w:val="0"/>
          <w:sz w:val="24"/>
          <w:szCs w:val="24"/>
        </w:rPr>
        <w:t>1/</w:t>
      </w:r>
      <w:r w:rsidR="00C51F4F">
        <w:rPr>
          <w:rFonts w:ascii="宋体" w:eastAsia="宋体" w:hAnsi="宋体" w:cs="宋体"/>
          <w:color w:val="121212"/>
          <w:kern w:val="0"/>
          <w:sz w:val="24"/>
          <w:szCs w:val="24"/>
        </w:rPr>
        <w:t>3</w:t>
      </w:r>
      <w:r w:rsidR="00C51F4F">
        <w:rPr>
          <w:rFonts w:ascii="宋体" w:eastAsia="宋体" w:hAnsi="宋体" w:cs="宋体" w:hint="eastAsia"/>
          <w:color w:val="121212"/>
          <w:kern w:val="0"/>
          <w:sz w:val="24"/>
          <w:szCs w:val="24"/>
        </w:rPr>
        <w:t>，</w:t>
      </w:r>
      <w:r w:rsidRPr="004E0B8D">
        <w:rPr>
          <w:rFonts w:ascii="宋体" w:eastAsia="宋体" w:hAnsi="宋体" w:cs="宋体" w:hint="eastAsia"/>
          <w:color w:val="121212"/>
          <w:kern w:val="0"/>
          <w:sz w:val="24"/>
          <w:szCs w:val="24"/>
        </w:rPr>
        <w:t>基金规模大于2亿以上，基金经理从业3年以上，夏普比率大于1的基金。 如图所示：</w:t>
      </w:r>
    </w:p>
    <w:p w14:paraId="2AC6ECDE" w14:textId="2DEB121E" w:rsidR="004E0B8D" w:rsidRPr="004E0B8D" w:rsidRDefault="00C51F4F" w:rsidP="004E0B8D">
      <w:pPr>
        <w:widowControl/>
        <w:jc w:val="left"/>
        <w:rPr>
          <w:rFonts w:ascii="宋体" w:eastAsia="宋体" w:hAnsi="宋体" w:cs="宋体"/>
          <w:kern w:val="0"/>
          <w:sz w:val="24"/>
          <w:szCs w:val="24"/>
        </w:rPr>
      </w:pPr>
      <w:r>
        <w:rPr>
          <w:noProof/>
        </w:rPr>
        <w:lastRenderedPageBreak/>
        <w:drawing>
          <wp:inline distT="0" distB="0" distL="0" distR="0" wp14:anchorId="2E22DC98" wp14:editId="22A479BE">
            <wp:extent cx="5274310" cy="18815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81505"/>
                    </a:xfrm>
                    <a:prstGeom prst="rect">
                      <a:avLst/>
                    </a:prstGeom>
                  </pic:spPr>
                </pic:pic>
              </a:graphicData>
            </a:graphic>
          </wp:inline>
        </w:drawing>
      </w:r>
    </w:p>
    <w:p w14:paraId="57B1B6BF" w14:textId="5AFE2AFE" w:rsidR="004E0B8D" w:rsidRDefault="004E0B8D" w:rsidP="00304259">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指数型：</w:t>
      </w:r>
      <w:r w:rsidR="00C51F4F" w:rsidRPr="004E0B8D">
        <w:rPr>
          <w:rFonts w:ascii="宋体" w:eastAsia="宋体" w:hAnsi="宋体" w:cs="宋体" w:hint="eastAsia"/>
          <w:color w:val="121212"/>
          <w:kern w:val="0"/>
          <w:sz w:val="24"/>
          <w:szCs w:val="24"/>
        </w:rPr>
        <w:t>选取</w:t>
      </w:r>
      <w:r w:rsidR="00C51F4F">
        <w:rPr>
          <w:rFonts w:ascii="宋体" w:eastAsia="宋体" w:hAnsi="宋体" w:cs="宋体" w:hint="eastAsia"/>
          <w:color w:val="121212"/>
          <w:kern w:val="0"/>
          <w:sz w:val="24"/>
          <w:szCs w:val="24"/>
        </w:rPr>
        <w:t>近1月、今年以来</w:t>
      </w:r>
      <w:r w:rsidR="00C51F4F" w:rsidRPr="004E0B8D">
        <w:rPr>
          <w:rFonts w:ascii="宋体" w:eastAsia="宋体" w:hAnsi="宋体" w:cs="宋体" w:hint="eastAsia"/>
          <w:color w:val="121212"/>
          <w:kern w:val="0"/>
          <w:sz w:val="24"/>
          <w:szCs w:val="24"/>
        </w:rPr>
        <w:t>业绩排行前</w:t>
      </w:r>
      <w:r w:rsidR="00C51F4F">
        <w:rPr>
          <w:rFonts w:ascii="宋体" w:eastAsia="宋体" w:hAnsi="宋体" w:cs="宋体"/>
          <w:color w:val="121212"/>
          <w:kern w:val="0"/>
          <w:sz w:val="24"/>
          <w:szCs w:val="24"/>
        </w:rPr>
        <w:t>1</w:t>
      </w:r>
      <w:r w:rsidR="00C51F4F">
        <w:rPr>
          <w:rFonts w:ascii="宋体" w:eastAsia="宋体" w:hAnsi="宋体" w:cs="宋体" w:hint="eastAsia"/>
          <w:color w:val="121212"/>
          <w:kern w:val="0"/>
          <w:sz w:val="24"/>
          <w:szCs w:val="24"/>
        </w:rPr>
        <w:t>/</w:t>
      </w:r>
      <w:r w:rsidR="00C51F4F">
        <w:rPr>
          <w:rFonts w:ascii="宋体" w:eastAsia="宋体" w:hAnsi="宋体" w:cs="宋体"/>
          <w:color w:val="121212"/>
          <w:kern w:val="0"/>
          <w:sz w:val="24"/>
          <w:szCs w:val="24"/>
        </w:rPr>
        <w:t>2</w:t>
      </w:r>
      <w:r w:rsidR="00C51F4F">
        <w:rPr>
          <w:rFonts w:ascii="宋体" w:eastAsia="宋体" w:hAnsi="宋体" w:cs="宋体" w:hint="eastAsia"/>
          <w:color w:val="121212"/>
          <w:kern w:val="0"/>
          <w:sz w:val="24"/>
          <w:szCs w:val="24"/>
        </w:rPr>
        <w:t>，</w:t>
      </w:r>
      <w:r w:rsidR="00C51F4F" w:rsidRPr="004E0B8D">
        <w:rPr>
          <w:rFonts w:ascii="宋体" w:eastAsia="宋体" w:hAnsi="宋体" w:cs="宋体" w:hint="eastAsia"/>
          <w:color w:val="121212"/>
          <w:kern w:val="0"/>
          <w:sz w:val="24"/>
          <w:szCs w:val="24"/>
        </w:rPr>
        <w:t>近3月、近6月、近1年、近2年、</w:t>
      </w:r>
      <w:r w:rsidR="00C51F4F">
        <w:rPr>
          <w:rFonts w:ascii="宋体" w:eastAsia="宋体" w:hAnsi="宋体" w:cs="宋体" w:hint="eastAsia"/>
          <w:color w:val="121212"/>
          <w:kern w:val="0"/>
          <w:sz w:val="24"/>
          <w:szCs w:val="24"/>
        </w:rPr>
        <w:t>近3年</w:t>
      </w:r>
      <w:r w:rsidR="00C51F4F" w:rsidRPr="004E0B8D">
        <w:rPr>
          <w:rFonts w:ascii="宋体" w:eastAsia="宋体" w:hAnsi="宋体" w:cs="宋体" w:hint="eastAsia"/>
          <w:color w:val="121212"/>
          <w:kern w:val="0"/>
          <w:sz w:val="24"/>
          <w:szCs w:val="24"/>
        </w:rPr>
        <w:t>业绩排行前</w:t>
      </w:r>
      <w:r w:rsidR="00C51F4F">
        <w:rPr>
          <w:rFonts w:ascii="宋体" w:eastAsia="宋体" w:hAnsi="宋体" w:cs="宋体"/>
          <w:color w:val="121212"/>
          <w:kern w:val="0"/>
          <w:sz w:val="24"/>
          <w:szCs w:val="24"/>
        </w:rPr>
        <w:t>1</w:t>
      </w:r>
      <w:r w:rsidR="00C51F4F">
        <w:rPr>
          <w:rFonts w:ascii="宋体" w:eastAsia="宋体" w:hAnsi="宋体" w:cs="宋体" w:hint="eastAsia"/>
          <w:color w:val="121212"/>
          <w:kern w:val="0"/>
          <w:sz w:val="24"/>
          <w:szCs w:val="24"/>
        </w:rPr>
        <w:t>/</w:t>
      </w:r>
      <w:r w:rsidR="00C51F4F">
        <w:rPr>
          <w:rFonts w:ascii="宋体" w:eastAsia="宋体" w:hAnsi="宋体" w:cs="宋体"/>
          <w:color w:val="121212"/>
          <w:kern w:val="0"/>
          <w:sz w:val="24"/>
          <w:szCs w:val="24"/>
        </w:rPr>
        <w:t>4</w:t>
      </w:r>
      <w:r w:rsidR="00C51F4F" w:rsidRPr="004E0B8D">
        <w:rPr>
          <w:rFonts w:ascii="宋体" w:eastAsia="宋体" w:hAnsi="宋体" w:cs="宋体" w:hint="eastAsia"/>
          <w:color w:val="121212"/>
          <w:kern w:val="0"/>
          <w:sz w:val="24"/>
          <w:szCs w:val="24"/>
        </w:rPr>
        <w:t>，</w:t>
      </w:r>
      <w:r w:rsidR="00C51F4F" w:rsidRPr="00C51F4F">
        <w:rPr>
          <w:rFonts w:ascii="宋体" w:eastAsia="宋体" w:hAnsi="宋体" w:cs="宋体"/>
          <w:color w:val="121212"/>
          <w:kern w:val="0"/>
          <w:sz w:val="24"/>
          <w:szCs w:val="24"/>
        </w:rPr>
        <w:t>2020年、2019年</w:t>
      </w:r>
      <w:r w:rsidR="00C51F4F">
        <w:rPr>
          <w:rFonts w:ascii="宋体" w:eastAsia="宋体" w:hAnsi="宋体" w:cs="宋体" w:hint="eastAsia"/>
          <w:color w:val="121212"/>
          <w:kern w:val="0"/>
          <w:sz w:val="24"/>
          <w:szCs w:val="24"/>
        </w:rPr>
        <w:t>、2</w:t>
      </w:r>
      <w:r w:rsidR="00C51F4F">
        <w:rPr>
          <w:rFonts w:ascii="宋体" w:eastAsia="宋体" w:hAnsi="宋体" w:cs="宋体"/>
          <w:color w:val="121212"/>
          <w:kern w:val="0"/>
          <w:sz w:val="24"/>
          <w:szCs w:val="24"/>
        </w:rPr>
        <w:t>018</w:t>
      </w:r>
      <w:r w:rsidR="00C51F4F">
        <w:rPr>
          <w:rFonts w:ascii="宋体" w:eastAsia="宋体" w:hAnsi="宋体" w:cs="宋体" w:hint="eastAsia"/>
          <w:color w:val="121212"/>
          <w:kern w:val="0"/>
          <w:sz w:val="24"/>
          <w:szCs w:val="24"/>
        </w:rPr>
        <w:t>年</w:t>
      </w:r>
      <w:r w:rsidR="00C51F4F">
        <w:rPr>
          <w:rFonts w:ascii="宋体" w:eastAsia="宋体" w:hAnsi="宋体" w:cs="宋体" w:hint="eastAsia"/>
          <w:color w:val="121212"/>
          <w:kern w:val="0"/>
          <w:sz w:val="24"/>
          <w:szCs w:val="24"/>
        </w:rPr>
        <w:t>业绩排行前</w:t>
      </w:r>
      <w:r w:rsidR="00C51F4F" w:rsidRPr="00C51F4F">
        <w:rPr>
          <w:rFonts w:ascii="宋体" w:eastAsia="宋体" w:hAnsi="宋体" w:cs="宋体"/>
          <w:color w:val="121212"/>
          <w:kern w:val="0"/>
          <w:sz w:val="24"/>
          <w:szCs w:val="24"/>
        </w:rPr>
        <w:t>1/</w:t>
      </w:r>
      <w:r w:rsidR="00C51F4F">
        <w:rPr>
          <w:rFonts w:ascii="宋体" w:eastAsia="宋体" w:hAnsi="宋体" w:cs="宋体"/>
          <w:color w:val="121212"/>
          <w:kern w:val="0"/>
          <w:sz w:val="24"/>
          <w:szCs w:val="24"/>
        </w:rPr>
        <w:t>2</w:t>
      </w:r>
      <w:r w:rsidR="00C51F4F">
        <w:rPr>
          <w:rFonts w:ascii="宋体" w:eastAsia="宋体" w:hAnsi="宋体" w:cs="宋体" w:hint="eastAsia"/>
          <w:color w:val="121212"/>
          <w:kern w:val="0"/>
          <w:sz w:val="24"/>
          <w:szCs w:val="24"/>
        </w:rPr>
        <w:t>，</w:t>
      </w:r>
      <w:r w:rsidR="00C51F4F" w:rsidRPr="004E0B8D">
        <w:rPr>
          <w:rFonts w:ascii="宋体" w:eastAsia="宋体" w:hAnsi="宋体" w:cs="宋体" w:hint="eastAsia"/>
          <w:color w:val="121212"/>
          <w:kern w:val="0"/>
          <w:sz w:val="24"/>
          <w:szCs w:val="24"/>
        </w:rPr>
        <w:t>基金规模大于2亿以上，基金经理从业3年以上的基金。 如图所示：</w:t>
      </w:r>
    </w:p>
    <w:p w14:paraId="63C42657" w14:textId="05FB963C" w:rsidR="00C51F4F" w:rsidRPr="00304259" w:rsidRDefault="00C51F4F" w:rsidP="00C51F4F">
      <w:pPr>
        <w:widowControl/>
        <w:shd w:val="clear" w:color="auto" w:fill="FFFFFF"/>
        <w:spacing w:before="336" w:after="336"/>
        <w:jc w:val="left"/>
        <w:rPr>
          <w:rFonts w:ascii="宋体" w:eastAsia="宋体" w:hAnsi="宋体" w:cs="宋体" w:hint="eastAsia"/>
          <w:color w:val="121212"/>
          <w:kern w:val="0"/>
          <w:sz w:val="24"/>
          <w:szCs w:val="24"/>
        </w:rPr>
      </w:pPr>
      <w:r>
        <w:rPr>
          <w:noProof/>
        </w:rPr>
        <w:drawing>
          <wp:inline distT="0" distB="0" distL="0" distR="0" wp14:anchorId="1FBF2443" wp14:editId="44D37C9B">
            <wp:extent cx="5274310" cy="11150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15060"/>
                    </a:xfrm>
                    <a:prstGeom prst="rect">
                      <a:avLst/>
                    </a:prstGeom>
                  </pic:spPr>
                </pic:pic>
              </a:graphicData>
            </a:graphic>
          </wp:inline>
        </w:drawing>
      </w:r>
    </w:p>
    <w:p w14:paraId="57BCB007" w14:textId="00A1D981" w:rsid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QDII：</w:t>
      </w:r>
      <w:r w:rsidR="00C51F4F" w:rsidRPr="004E0B8D">
        <w:rPr>
          <w:rFonts w:ascii="宋体" w:eastAsia="宋体" w:hAnsi="宋体" w:cs="宋体" w:hint="eastAsia"/>
          <w:color w:val="121212"/>
          <w:kern w:val="0"/>
          <w:sz w:val="24"/>
          <w:szCs w:val="24"/>
        </w:rPr>
        <w:t>选取</w:t>
      </w:r>
      <w:r w:rsidR="00C51F4F">
        <w:rPr>
          <w:rFonts w:ascii="宋体" w:eastAsia="宋体" w:hAnsi="宋体" w:cs="宋体" w:hint="eastAsia"/>
          <w:color w:val="121212"/>
          <w:kern w:val="0"/>
          <w:sz w:val="24"/>
          <w:szCs w:val="24"/>
        </w:rPr>
        <w:t>近1月、今年以来</w:t>
      </w:r>
      <w:r w:rsidR="00C51F4F" w:rsidRPr="004E0B8D">
        <w:rPr>
          <w:rFonts w:ascii="宋体" w:eastAsia="宋体" w:hAnsi="宋体" w:cs="宋体" w:hint="eastAsia"/>
          <w:color w:val="121212"/>
          <w:kern w:val="0"/>
          <w:sz w:val="24"/>
          <w:szCs w:val="24"/>
        </w:rPr>
        <w:t>业绩排行前</w:t>
      </w:r>
      <w:r w:rsidR="00C51F4F">
        <w:rPr>
          <w:rFonts w:ascii="宋体" w:eastAsia="宋体" w:hAnsi="宋体" w:cs="宋体"/>
          <w:color w:val="121212"/>
          <w:kern w:val="0"/>
          <w:sz w:val="24"/>
          <w:szCs w:val="24"/>
        </w:rPr>
        <w:t>1</w:t>
      </w:r>
      <w:r w:rsidR="00C51F4F">
        <w:rPr>
          <w:rFonts w:ascii="宋体" w:eastAsia="宋体" w:hAnsi="宋体" w:cs="宋体" w:hint="eastAsia"/>
          <w:color w:val="121212"/>
          <w:kern w:val="0"/>
          <w:sz w:val="24"/>
          <w:szCs w:val="24"/>
        </w:rPr>
        <w:t>/</w:t>
      </w:r>
      <w:r w:rsidR="00C51F4F">
        <w:rPr>
          <w:rFonts w:ascii="宋体" w:eastAsia="宋体" w:hAnsi="宋体" w:cs="宋体"/>
          <w:color w:val="121212"/>
          <w:kern w:val="0"/>
          <w:sz w:val="24"/>
          <w:szCs w:val="24"/>
        </w:rPr>
        <w:t>2</w:t>
      </w:r>
      <w:r w:rsidR="00C51F4F">
        <w:rPr>
          <w:rFonts w:ascii="宋体" w:eastAsia="宋体" w:hAnsi="宋体" w:cs="宋体" w:hint="eastAsia"/>
          <w:color w:val="121212"/>
          <w:kern w:val="0"/>
          <w:sz w:val="24"/>
          <w:szCs w:val="24"/>
        </w:rPr>
        <w:t>，</w:t>
      </w:r>
      <w:r w:rsidR="00C51F4F" w:rsidRPr="004E0B8D">
        <w:rPr>
          <w:rFonts w:ascii="宋体" w:eastAsia="宋体" w:hAnsi="宋体" w:cs="宋体" w:hint="eastAsia"/>
          <w:color w:val="121212"/>
          <w:kern w:val="0"/>
          <w:sz w:val="24"/>
          <w:szCs w:val="24"/>
        </w:rPr>
        <w:t>近3月、近6月、近1年、近2年、</w:t>
      </w:r>
      <w:r w:rsidR="00C51F4F">
        <w:rPr>
          <w:rFonts w:ascii="宋体" w:eastAsia="宋体" w:hAnsi="宋体" w:cs="宋体" w:hint="eastAsia"/>
          <w:color w:val="121212"/>
          <w:kern w:val="0"/>
          <w:sz w:val="24"/>
          <w:szCs w:val="24"/>
        </w:rPr>
        <w:t>近3年</w:t>
      </w:r>
      <w:r w:rsidR="00C51F4F" w:rsidRPr="004E0B8D">
        <w:rPr>
          <w:rFonts w:ascii="宋体" w:eastAsia="宋体" w:hAnsi="宋体" w:cs="宋体" w:hint="eastAsia"/>
          <w:color w:val="121212"/>
          <w:kern w:val="0"/>
          <w:sz w:val="24"/>
          <w:szCs w:val="24"/>
        </w:rPr>
        <w:t>业绩排行前</w:t>
      </w:r>
      <w:r w:rsidR="00C51F4F">
        <w:rPr>
          <w:rFonts w:ascii="宋体" w:eastAsia="宋体" w:hAnsi="宋体" w:cs="宋体"/>
          <w:color w:val="121212"/>
          <w:kern w:val="0"/>
          <w:sz w:val="24"/>
          <w:szCs w:val="24"/>
        </w:rPr>
        <w:t>1</w:t>
      </w:r>
      <w:r w:rsidR="00C51F4F">
        <w:rPr>
          <w:rFonts w:ascii="宋体" w:eastAsia="宋体" w:hAnsi="宋体" w:cs="宋体" w:hint="eastAsia"/>
          <w:color w:val="121212"/>
          <w:kern w:val="0"/>
          <w:sz w:val="24"/>
          <w:szCs w:val="24"/>
        </w:rPr>
        <w:t>/</w:t>
      </w:r>
      <w:r w:rsidR="00C51F4F">
        <w:rPr>
          <w:rFonts w:ascii="宋体" w:eastAsia="宋体" w:hAnsi="宋体" w:cs="宋体"/>
          <w:color w:val="121212"/>
          <w:kern w:val="0"/>
          <w:sz w:val="24"/>
          <w:szCs w:val="24"/>
        </w:rPr>
        <w:t>4</w:t>
      </w:r>
      <w:r w:rsidR="00C51F4F" w:rsidRPr="004E0B8D">
        <w:rPr>
          <w:rFonts w:ascii="宋体" w:eastAsia="宋体" w:hAnsi="宋体" w:cs="宋体" w:hint="eastAsia"/>
          <w:color w:val="121212"/>
          <w:kern w:val="0"/>
          <w:sz w:val="24"/>
          <w:szCs w:val="24"/>
        </w:rPr>
        <w:t>，</w:t>
      </w:r>
      <w:r w:rsidR="00C51F4F" w:rsidRPr="00C51F4F">
        <w:rPr>
          <w:rFonts w:ascii="宋体" w:eastAsia="宋体" w:hAnsi="宋体" w:cs="宋体"/>
          <w:color w:val="121212"/>
          <w:kern w:val="0"/>
          <w:sz w:val="24"/>
          <w:szCs w:val="24"/>
        </w:rPr>
        <w:t>2020年、2019年</w:t>
      </w:r>
      <w:r w:rsidR="00C51F4F">
        <w:rPr>
          <w:rFonts w:ascii="宋体" w:eastAsia="宋体" w:hAnsi="宋体" w:cs="宋体" w:hint="eastAsia"/>
          <w:color w:val="121212"/>
          <w:kern w:val="0"/>
          <w:sz w:val="24"/>
          <w:szCs w:val="24"/>
        </w:rPr>
        <w:t>业绩排行前</w:t>
      </w:r>
      <w:r w:rsidR="00C51F4F" w:rsidRPr="00C51F4F">
        <w:rPr>
          <w:rFonts w:ascii="宋体" w:eastAsia="宋体" w:hAnsi="宋体" w:cs="宋体"/>
          <w:color w:val="121212"/>
          <w:kern w:val="0"/>
          <w:sz w:val="24"/>
          <w:szCs w:val="24"/>
        </w:rPr>
        <w:t>1/</w:t>
      </w:r>
      <w:r w:rsidR="00C51F4F">
        <w:rPr>
          <w:rFonts w:ascii="宋体" w:eastAsia="宋体" w:hAnsi="宋体" w:cs="宋体"/>
          <w:color w:val="121212"/>
          <w:kern w:val="0"/>
          <w:sz w:val="24"/>
          <w:szCs w:val="24"/>
        </w:rPr>
        <w:t>2</w:t>
      </w:r>
      <w:r w:rsidR="00C51F4F">
        <w:rPr>
          <w:rFonts w:ascii="宋体" w:eastAsia="宋体" w:hAnsi="宋体" w:cs="宋体" w:hint="eastAsia"/>
          <w:color w:val="121212"/>
          <w:kern w:val="0"/>
          <w:sz w:val="24"/>
          <w:szCs w:val="24"/>
        </w:rPr>
        <w:t>，</w:t>
      </w:r>
      <w:r w:rsidR="00C51F4F" w:rsidRPr="004E0B8D">
        <w:rPr>
          <w:rFonts w:ascii="宋体" w:eastAsia="宋体" w:hAnsi="宋体" w:cs="宋体" w:hint="eastAsia"/>
          <w:color w:val="121212"/>
          <w:kern w:val="0"/>
          <w:sz w:val="24"/>
          <w:szCs w:val="24"/>
        </w:rPr>
        <w:t>基金规模大于2亿以上，基金经理从业3年以上的基金。 如图所示</w:t>
      </w:r>
      <w:r w:rsidRPr="004E0B8D">
        <w:rPr>
          <w:rFonts w:ascii="宋体" w:eastAsia="宋体" w:hAnsi="宋体" w:cs="宋体" w:hint="eastAsia"/>
          <w:color w:val="121212"/>
          <w:kern w:val="0"/>
          <w:sz w:val="24"/>
          <w:szCs w:val="24"/>
        </w:rPr>
        <w:t>：</w:t>
      </w:r>
    </w:p>
    <w:p w14:paraId="7E191A96" w14:textId="6897C599" w:rsidR="00304259" w:rsidRPr="00133513" w:rsidRDefault="00133513" w:rsidP="00133513">
      <w:pPr>
        <w:widowControl/>
        <w:shd w:val="clear" w:color="auto" w:fill="FFFFFF"/>
        <w:spacing w:before="336" w:after="336"/>
        <w:jc w:val="left"/>
        <w:rPr>
          <w:rFonts w:ascii="宋体" w:eastAsia="宋体" w:hAnsi="宋体" w:cs="宋体" w:hint="eastAsia"/>
          <w:color w:val="121212"/>
          <w:kern w:val="0"/>
          <w:sz w:val="24"/>
          <w:szCs w:val="24"/>
        </w:rPr>
      </w:pPr>
      <w:r>
        <w:rPr>
          <w:noProof/>
        </w:rPr>
        <w:drawing>
          <wp:inline distT="0" distB="0" distL="0" distR="0" wp14:anchorId="59D0261B" wp14:editId="00C7E691">
            <wp:extent cx="5274310" cy="2368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6855"/>
                    </a:xfrm>
                    <a:prstGeom prst="rect">
                      <a:avLst/>
                    </a:prstGeom>
                  </pic:spPr>
                </pic:pic>
              </a:graphicData>
            </a:graphic>
          </wp:inline>
        </w:drawing>
      </w:r>
    </w:p>
    <w:p w14:paraId="7FDE0538" w14:textId="68DE6E52" w:rsid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债券型：选取</w:t>
      </w:r>
      <w:r w:rsidR="00304259">
        <w:rPr>
          <w:rFonts w:ascii="宋体" w:eastAsia="宋体" w:hAnsi="宋体" w:cs="宋体" w:hint="eastAsia"/>
          <w:color w:val="121212"/>
          <w:kern w:val="0"/>
          <w:sz w:val="24"/>
          <w:szCs w:val="24"/>
        </w:rPr>
        <w:t>近1月、</w:t>
      </w:r>
      <w:r w:rsidR="00304259" w:rsidRPr="004E0B8D">
        <w:rPr>
          <w:rFonts w:ascii="宋体" w:eastAsia="宋体" w:hAnsi="宋体" w:cs="宋体" w:hint="eastAsia"/>
          <w:color w:val="121212"/>
          <w:kern w:val="0"/>
          <w:sz w:val="24"/>
          <w:szCs w:val="24"/>
        </w:rPr>
        <w:t>近3月、近6月、近1年、近2年、</w:t>
      </w:r>
      <w:r w:rsidR="00304259">
        <w:rPr>
          <w:rFonts w:ascii="宋体" w:eastAsia="宋体" w:hAnsi="宋体" w:cs="宋体" w:hint="eastAsia"/>
          <w:color w:val="121212"/>
          <w:kern w:val="0"/>
          <w:sz w:val="24"/>
          <w:szCs w:val="24"/>
        </w:rPr>
        <w:t>今年以来</w:t>
      </w:r>
      <w:r w:rsidRPr="004E0B8D">
        <w:rPr>
          <w:rFonts w:ascii="宋体" w:eastAsia="宋体" w:hAnsi="宋体" w:cs="宋体" w:hint="eastAsia"/>
          <w:color w:val="121212"/>
          <w:kern w:val="0"/>
          <w:sz w:val="24"/>
          <w:szCs w:val="24"/>
        </w:rPr>
        <w:t>业绩排行前</w:t>
      </w:r>
      <w:r w:rsidR="00133513">
        <w:rPr>
          <w:rFonts w:ascii="宋体" w:eastAsia="宋体" w:hAnsi="宋体" w:cs="宋体"/>
          <w:color w:val="121212"/>
          <w:kern w:val="0"/>
          <w:sz w:val="24"/>
          <w:szCs w:val="24"/>
        </w:rPr>
        <w:t>1</w:t>
      </w:r>
      <w:r w:rsidR="00133513">
        <w:rPr>
          <w:rFonts w:ascii="宋体" w:eastAsia="宋体" w:hAnsi="宋体" w:cs="宋体" w:hint="eastAsia"/>
          <w:color w:val="121212"/>
          <w:kern w:val="0"/>
          <w:sz w:val="24"/>
          <w:szCs w:val="24"/>
        </w:rPr>
        <w:t>/</w:t>
      </w:r>
      <w:r w:rsidR="00133513">
        <w:rPr>
          <w:rFonts w:ascii="宋体" w:eastAsia="宋体" w:hAnsi="宋体" w:cs="宋体"/>
          <w:color w:val="121212"/>
          <w:kern w:val="0"/>
          <w:sz w:val="24"/>
          <w:szCs w:val="24"/>
        </w:rPr>
        <w:t>4，</w:t>
      </w:r>
      <w:r w:rsidR="00133513" w:rsidRPr="00C51F4F">
        <w:rPr>
          <w:rFonts w:ascii="宋体" w:eastAsia="宋体" w:hAnsi="宋体" w:cs="宋体"/>
          <w:color w:val="121212"/>
          <w:kern w:val="0"/>
          <w:sz w:val="24"/>
          <w:szCs w:val="24"/>
        </w:rPr>
        <w:t>2020年、2019年</w:t>
      </w:r>
      <w:r w:rsidR="00133513">
        <w:rPr>
          <w:rFonts w:ascii="宋体" w:eastAsia="宋体" w:hAnsi="宋体" w:cs="宋体" w:hint="eastAsia"/>
          <w:color w:val="121212"/>
          <w:kern w:val="0"/>
          <w:sz w:val="24"/>
          <w:szCs w:val="24"/>
        </w:rPr>
        <w:t>业绩排行前</w:t>
      </w:r>
      <w:r w:rsidR="00133513" w:rsidRPr="00C51F4F">
        <w:rPr>
          <w:rFonts w:ascii="宋体" w:eastAsia="宋体" w:hAnsi="宋体" w:cs="宋体"/>
          <w:color w:val="121212"/>
          <w:kern w:val="0"/>
          <w:sz w:val="24"/>
          <w:szCs w:val="24"/>
        </w:rPr>
        <w:t>1/</w:t>
      </w:r>
      <w:r w:rsidR="00133513">
        <w:rPr>
          <w:rFonts w:ascii="宋体" w:eastAsia="宋体" w:hAnsi="宋体" w:cs="宋体"/>
          <w:color w:val="121212"/>
          <w:kern w:val="0"/>
          <w:sz w:val="24"/>
          <w:szCs w:val="24"/>
        </w:rPr>
        <w:t>4，回撤</w:t>
      </w:r>
      <w:r w:rsidR="00133513">
        <w:rPr>
          <w:rFonts w:ascii="宋体" w:eastAsia="宋体" w:hAnsi="宋体" w:cs="宋体" w:hint="eastAsia"/>
          <w:color w:val="121212"/>
          <w:kern w:val="0"/>
          <w:sz w:val="24"/>
          <w:szCs w:val="24"/>
        </w:rPr>
        <w:t>在-</w:t>
      </w:r>
      <w:r w:rsidR="00133513">
        <w:rPr>
          <w:rFonts w:ascii="宋体" w:eastAsia="宋体" w:hAnsi="宋体" w:cs="宋体"/>
          <w:color w:val="121212"/>
          <w:kern w:val="0"/>
          <w:sz w:val="24"/>
          <w:szCs w:val="24"/>
        </w:rPr>
        <w:t>5</w:t>
      </w:r>
      <w:r w:rsidR="00133513">
        <w:rPr>
          <w:rFonts w:ascii="宋体" w:eastAsia="宋体" w:hAnsi="宋体" w:cs="宋体" w:hint="eastAsia"/>
          <w:color w:val="121212"/>
          <w:kern w:val="0"/>
          <w:sz w:val="24"/>
          <w:szCs w:val="24"/>
        </w:rPr>
        <w:t>%以内，基金规模大</w:t>
      </w:r>
      <w:r w:rsidRPr="004E0B8D">
        <w:rPr>
          <w:rFonts w:ascii="宋体" w:eastAsia="宋体" w:hAnsi="宋体" w:cs="宋体" w:hint="eastAsia"/>
          <w:color w:val="121212"/>
          <w:kern w:val="0"/>
          <w:sz w:val="24"/>
          <w:szCs w:val="24"/>
        </w:rPr>
        <w:t>于2亿以上，基金经理从业3年以上，夏普比率大于1的基金。 如图所示：</w:t>
      </w:r>
    </w:p>
    <w:p w14:paraId="037B32DA" w14:textId="19C2E2A1" w:rsidR="004E0B8D" w:rsidRPr="00133513" w:rsidRDefault="00133513" w:rsidP="00133513">
      <w:pPr>
        <w:widowControl/>
        <w:shd w:val="clear" w:color="auto" w:fill="FFFFFF"/>
        <w:spacing w:before="336" w:after="336"/>
        <w:jc w:val="left"/>
        <w:rPr>
          <w:rFonts w:ascii="宋体" w:eastAsia="宋体" w:hAnsi="宋体" w:cs="宋体"/>
          <w:color w:val="121212"/>
          <w:kern w:val="0"/>
          <w:sz w:val="24"/>
          <w:szCs w:val="24"/>
        </w:rPr>
      </w:pPr>
      <w:r>
        <w:rPr>
          <w:noProof/>
        </w:rPr>
        <w:drawing>
          <wp:inline distT="0" distB="0" distL="0" distR="0" wp14:anchorId="3565D206" wp14:editId="6C55708A">
            <wp:extent cx="5274310" cy="561340"/>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61340"/>
                    </a:xfrm>
                    <a:prstGeom prst="rect">
                      <a:avLst/>
                    </a:prstGeom>
                  </pic:spPr>
                </pic:pic>
              </a:graphicData>
            </a:graphic>
          </wp:inline>
        </w:drawing>
      </w:r>
    </w:p>
    <w:p w14:paraId="285A9243" w14:textId="68FEFEEE" w:rsidR="004E0B8D" w:rsidRPr="004E0B8D" w:rsidRDefault="004E0B8D" w:rsidP="004E0B8D">
      <w:pPr>
        <w:widowControl/>
        <w:shd w:val="clear" w:color="auto" w:fill="FFFFFF"/>
        <w:spacing w:before="336" w:after="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目前的收集仅仅是一个初筛的过程，接下来我会按照其他的一些策略将这些基金压缩至</w:t>
      </w:r>
      <w:r w:rsidR="00304259">
        <w:rPr>
          <w:rFonts w:ascii="宋体" w:eastAsia="宋体" w:hAnsi="宋体" w:cs="宋体"/>
          <w:color w:val="121212"/>
          <w:kern w:val="0"/>
          <w:sz w:val="24"/>
          <w:szCs w:val="24"/>
        </w:rPr>
        <w:t>10</w:t>
      </w:r>
      <w:r w:rsidRPr="004E0B8D">
        <w:rPr>
          <w:rFonts w:ascii="宋体" w:eastAsia="宋体" w:hAnsi="宋体" w:cs="宋体" w:hint="eastAsia"/>
          <w:color w:val="121212"/>
          <w:kern w:val="0"/>
          <w:sz w:val="24"/>
          <w:szCs w:val="24"/>
        </w:rPr>
        <w:t>只以内作为一个基金池。</w:t>
      </w:r>
    </w:p>
    <w:p w14:paraId="35A9EF9A" w14:textId="77777777" w:rsidR="004E0B8D" w:rsidRPr="004E0B8D" w:rsidRDefault="004E0B8D" w:rsidP="004E0B8D">
      <w:pPr>
        <w:widowControl/>
        <w:shd w:val="clear" w:color="auto" w:fill="FFFFFF"/>
        <w:spacing w:before="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本文数据计划每月更新一次，仅供数据分析使用。</w:t>
      </w:r>
    </w:p>
    <w:p w14:paraId="3DEB921B" w14:textId="77777777" w:rsidR="00140D66" w:rsidRPr="004E0B8D" w:rsidRDefault="00140D66">
      <w:pPr>
        <w:rPr>
          <w:rFonts w:ascii="宋体" w:eastAsia="宋体" w:hAnsi="宋体"/>
          <w:sz w:val="24"/>
          <w:szCs w:val="24"/>
        </w:rPr>
      </w:pPr>
    </w:p>
    <w:sectPr w:rsidR="00140D66" w:rsidRPr="004E0B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50"/>
    <w:rsid w:val="00133513"/>
    <w:rsid w:val="00140D66"/>
    <w:rsid w:val="002874CD"/>
    <w:rsid w:val="002C14EF"/>
    <w:rsid w:val="00304259"/>
    <w:rsid w:val="004E0B8D"/>
    <w:rsid w:val="00506950"/>
    <w:rsid w:val="00C51F4F"/>
    <w:rsid w:val="00FC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5A49"/>
  <w15:chartTrackingRefBased/>
  <w15:docId w15:val="{F73FC644-4E09-4FB6-9930-44BFBE2F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0B8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E0B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629500">
      <w:bodyDiv w:val="1"/>
      <w:marLeft w:val="0"/>
      <w:marRight w:val="0"/>
      <w:marTop w:val="0"/>
      <w:marBottom w:val="0"/>
      <w:divBdr>
        <w:top w:val="none" w:sz="0" w:space="0" w:color="auto"/>
        <w:left w:val="none" w:sz="0" w:space="0" w:color="auto"/>
        <w:bottom w:val="none" w:sz="0" w:space="0" w:color="auto"/>
        <w:right w:val="none" w:sz="0" w:space="0" w:color="auto"/>
      </w:divBdr>
    </w:div>
    <w:div w:id="193339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baike.baidu.com/item/%25E9%25A3%258E%25E9%2599%25A9%25E5%259B%25A0%25E7%25B4%25A0/10506197"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link.zhihu.com/?target=https%3A//baike.baidu.com/item/%25E6%2594%25B6%25E7%259B%258A%25E7%258E%2587/4533890"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ink.zhihu.com/?target=https%3A//baike.baidu.com/item/%25E9%2587%2591%25E8%259E%258D%25E8%25B5%2584%25E4%25BA%25A7/4468342" TargetMode="External"/><Relationship Id="rId11" Type="http://schemas.openxmlformats.org/officeDocument/2006/relationships/image" Target="media/image1.png"/><Relationship Id="rId5" Type="http://schemas.openxmlformats.org/officeDocument/2006/relationships/hyperlink" Target="https://link.zhihu.com/?target=https%3A//baike.baidu.com/item/%25E4%25B8%258D%25E7%25A1%25AE%25E5%25AE%259A%25E6%2580%25A7/8250115" TargetMode="External"/><Relationship Id="rId15" Type="http://schemas.openxmlformats.org/officeDocument/2006/relationships/image" Target="media/image5.png"/><Relationship Id="rId10" Type="http://schemas.openxmlformats.org/officeDocument/2006/relationships/hyperlink" Target="https://link.zhihu.com/?target=https%3A//baike.baidu.com/item/%25E7%25AD%2596%25E7%2595%25A5%25E4%25BA%25A4%25E6%2598%2593/6121603" TargetMode="External"/><Relationship Id="rId4" Type="http://schemas.openxmlformats.org/officeDocument/2006/relationships/hyperlink" Target="https://link.zhihu.com/?target=https%3A//baike.baidu.com/item/%25E8%25B5%2584%25E4%25BA%25A7%25E6%2594%25B6%25E7%259B%258A%25E7%258E%2587/2429091" TargetMode="External"/><Relationship Id="rId9" Type="http://schemas.openxmlformats.org/officeDocument/2006/relationships/hyperlink" Target="https://link.zhihu.com/?target=https%3A//baike.baidu.com/item/%25E5%25AF%25B9%25E5%2586%25B2%25E5%259F%25BA%25E9%2587%2591/13352853"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2021-01-15T16:01:00Z</dcterms:created>
  <dcterms:modified xsi:type="dcterms:W3CDTF">2021-02-28T12:11:00Z</dcterms:modified>
</cp:coreProperties>
</file>