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Tahoma" w:hAnsi="Tahoma" w:eastAsia="宋体" w:cs="Tahoma"/>
          <w:b/>
          <w:color w:val="000000"/>
          <w:kern w:val="0"/>
          <w:sz w:val="24"/>
          <w:szCs w:val="24"/>
        </w:rPr>
      </w:pPr>
      <w:r>
        <w:rPr>
          <w:rFonts w:hint="eastAsia" w:asciiTheme="minorEastAsia" w:hAnsiTheme="minorEastAsia"/>
          <w:b/>
          <w:sz w:val="28"/>
          <w:szCs w:val="28"/>
        </w:rPr>
        <w:t>科创50,中国版的纳斯达克来了</w:t>
      </w:r>
      <w:bookmarkStart w:id="0" w:name="_GoBack"/>
      <w:bookmarkEnd w:id="0"/>
    </w:p>
    <w:p>
      <w:pPr>
        <w:spacing w:before="156" w:beforeLines="50" w:after="156" w:afterLines="50"/>
        <w:jc w:val="left"/>
        <w:rPr>
          <w:rFonts w:asciiTheme="minorEastAsia" w:hAnsiTheme="minorEastAsia"/>
          <w:szCs w:val="21"/>
        </w:rPr>
      </w:pPr>
      <w:r>
        <w:rPr>
          <w:rFonts w:hint="eastAsia" w:asciiTheme="minorEastAsia" w:hAnsiTheme="minorEastAsia"/>
          <w:szCs w:val="21"/>
        </w:rPr>
        <w:t>2020年7月22日，在科创板开市满一周年、科创板上市公司数量达140家之际，科创板50成份指数正式发布。</w:t>
      </w:r>
    </w:p>
    <w:p>
      <w:pPr>
        <w:spacing w:before="156" w:beforeLines="50" w:after="156" w:afterLines="50"/>
        <w:jc w:val="left"/>
        <w:rPr>
          <w:rFonts w:hint="eastAsia" w:asciiTheme="minorEastAsia" w:hAnsiTheme="minorEastAsia"/>
          <w:szCs w:val="21"/>
        </w:rPr>
      </w:pPr>
    </w:p>
    <w:p>
      <w:pPr>
        <w:spacing w:before="156" w:beforeLines="50" w:after="156" w:afterLines="50"/>
        <w:jc w:val="left"/>
        <w:rPr>
          <w:rFonts w:hint="eastAsia" w:asciiTheme="minorEastAsia" w:hAnsiTheme="minorEastAsia"/>
          <w:szCs w:val="21"/>
        </w:rPr>
      </w:pPr>
      <w:r>
        <w:rPr>
          <w:rFonts w:hint="eastAsia" w:asciiTheme="minorEastAsia" w:hAnsiTheme="minorEastAsia"/>
          <w:szCs w:val="21"/>
        </w:rPr>
        <w:t>目前易方达科创板50ETF（588080）等首批跟踪该指数的投资工具已经获批并将于9月22日发售一天，大家一起来看看中国版的纳斯达克——科创50的投资价值。</w:t>
      </w:r>
    </w:p>
    <w:p>
      <w:pPr>
        <w:spacing w:before="156" w:beforeLines="50" w:after="156" w:afterLines="50"/>
        <w:jc w:val="left"/>
        <w:rPr>
          <w:rFonts w:hint="eastAsia" w:asciiTheme="minorEastAsia" w:hAnsiTheme="minorEastAsia"/>
          <w:szCs w:val="21"/>
        </w:rPr>
      </w:pPr>
    </w:p>
    <w:p>
      <w:pPr>
        <w:numPr>
          <w:ilvl w:val="0"/>
          <w:numId w:val="1"/>
        </w:numPr>
        <w:spacing w:before="156" w:beforeLines="50" w:after="156" w:afterLines="50"/>
        <w:jc w:val="left"/>
        <w:rPr>
          <w:rFonts w:hint="eastAsia" w:asciiTheme="minorEastAsia" w:hAnsiTheme="minorEastAsia"/>
          <w:b/>
          <w:bCs/>
          <w:szCs w:val="21"/>
        </w:rPr>
      </w:pPr>
      <w:r>
        <w:rPr>
          <w:rFonts w:hint="eastAsia" w:asciiTheme="minorEastAsia" w:hAnsiTheme="minorEastAsia"/>
          <w:b/>
          <w:bCs/>
          <w:szCs w:val="21"/>
        </w:rPr>
        <w:t>科创板的介绍以及投资价值分析。</w:t>
      </w:r>
    </w:p>
    <w:p>
      <w:pPr>
        <w:numPr>
          <w:numId w:val="0"/>
        </w:numPr>
        <w:spacing w:before="156" w:beforeLines="50" w:after="156" w:afterLines="50"/>
        <w:jc w:val="left"/>
        <w:rPr>
          <w:rFonts w:hint="eastAsia" w:asciiTheme="minorEastAsia" w:hAnsiTheme="minorEastAsia"/>
          <w:b/>
          <w:bCs/>
          <w:szCs w:val="21"/>
        </w:rPr>
      </w:pPr>
    </w:p>
    <w:p>
      <w:pPr>
        <w:spacing w:before="156" w:beforeLines="50" w:after="156" w:afterLines="50"/>
        <w:ind w:firstLine="317" w:firstLineChars="151"/>
        <w:jc w:val="left"/>
        <w:rPr>
          <w:rFonts w:asciiTheme="minorEastAsia" w:hAnsiTheme="minorEastAsia"/>
          <w:szCs w:val="21"/>
        </w:rPr>
      </w:pPr>
      <w:r>
        <w:rPr>
          <w:rFonts w:hint="eastAsia" w:asciiTheme="minorEastAsia" w:hAnsiTheme="minorEastAsia"/>
          <w:szCs w:val="21"/>
        </w:rPr>
        <w:t>科创板设立之前，我国资本市场主要由沪深主板、中小企业板、创业板和全国中小企业股份转让系统组成。</w:t>
      </w:r>
    </w:p>
    <w:p>
      <w:pPr>
        <w:spacing w:before="156" w:beforeLines="50" w:after="156" w:afterLines="50"/>
        <w:ind w:firstLine="317" w:firstLineChars="151"/>
        <w:jc w:val="left"/>
        <w:rPr>
          <w:rFonts w:asciiTheme="minorEastAsia" w:hAnsiTheme="minorEastAsia"/>
          <w:szCs w:val="21"/>
        </w:rPr>
      </w:pPr>
      <w:r>
        <w:rPr>
          <w:rFonts w:hint="eastAsia" w:asciiTheme="minorEastAsia" w:hAnsiTheme="minorEastAsia"/>
          <w:szCs w:val="21"/>
        </w:rPr>
        <w:t>为了全面深化资本市场改革，从而形成与我国目前以创新驱动为主的高质量发展经济相匹配的多层次资本市场，2018年11月大大在首届中国国际进口博览会上宣布将在上海证券交易所设立科创板并试点注册制。</w:t>
      </w:r>
    </w:p>
    <w:p>
      <w:pPr>
        <w:spacing w:before="156" w:beforeLines="50" w:after="156" w:afterLines="50"/>
        <w:ind w:firstLine="317" w:firstLineChars="151"/>
        <w:jc w:val="left"/>
        <w:rPr>
          <w:rFonts w:asciiTheme="minorEastAsia" w:hAnsiTheme="minorEastAsia"/>
          <w:szCs w:val="21"/>
        </w:rPr>
      </w:pPr>
      <w:r>
        <w:rPr>
          <w:rFonts w:hint="eastAsia" w:asciiTheme="minorEastAsia" w:hAnsiTheme="minorEastAsia"/>
          <w:szCs w:val="21"/>
        </w:rPr>
        <w:t>然后经过一整年的发展，2019年6月上交所科创板正式开板，同年7月科创板首批25家公司在上交所挂牌上市交易。</w:t>
      </w:r>
    </w:p>
    <w:p>
      <w:pPr>
        <w:spacing w:before="156" w:beforeLines="50" w:after="156" w:afterLines="50"/>
        <w:ind w:firstLine="317" w:firstLineChars="151"/>
        <w:jc w:val="left"/>
        <w:rPr>
          <w:rFonts w:asciiTheme="minorEastAsia" w:hAnsiTheme="minorEastAsia"/>
          <w:szCs w:val="21"/>
        </w:rPr>
      </w:pPr>
      <w:r>
        <w:rPr>
          <w:rFonts w:asciiTheme="minorEastAsia" w:hAnsiTheme="minorEastAsia"/>
          <w:szCs w:val="21"/>
        </w:rPr>
        <w:drawing>
          <wp:inline distT="0" distB="0" distL="114300" distR="114300">
            <wp:extent cx="5268595" cy="1838325"/>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1838325"/>
                    </a:xfrm>
                    <a:prstGeom prst="rect">
                      <a:avLst/>
                    </a:prstGeom>
                    <a:noFill/>
                    <a:ln>
                      <a:noFill/>
                    </a:ln>
                  </pic:spPr>
                </pic:pic>
              </a:graphicData>
            </a:graphic>
          </wp:inline>
        </w:drawing>
      </w:r>
    </w:p>
    <w:p>
      <w:pPr>
        <w:spacing w:before="156" w:beforeLines="50" w:after="156" w:afterLines="50"/>
        <w:ind w:firstLine="317" w:firstLineChars="151"/>
        <w:jc w:val="left"/>
        <w:rPr>
          <w:rFonts w:asciiTheme="minorEastAsia" w:hAnsiTheme="minorEastAsia"/>
          <w:szCs w:val="21"/>
        </w:rPr>
      </w:pPr>
      <w:r>
        <w:rPr>
          <w:rFonts w:hint="eastAsia" w:asciiTheme="minorEastAsia" w:hAnsiTheme="minorEastAsia"/>
          <w:szCs w:val="21"/>
        </w:rPr>
        <w:t>均作为面向中小型企业的科创板和创业板，有啥不同呢？</w:t>
      </w:r>
    </w:p>
    <w:p>
      <w:pPr>
        <w:spacing w:before="156" w:beforeLines="50" w:after="156" w:afterLines="50"/>
        <w:ind w:firstLine="317" w:firstLineChars="151"/>
        <w:jc w:val="left"/>
        <w:rPr>
          <w:rFonts w:asciiTheme="minorEastAsia" w:hAnsiTheme="minorEastAsia"/>
          <w:b/>
          <w:bCs/>
          <w:szCs w:val="21"/>
        </w:rPr>
      </w:pPr>
      <w:r>
        <w:rPr>
          <w:rFonts w:hint="eastAsia" w:asciiTheme="minorEastAsia" w:hAnsiTheme="minorEastAsia"/>
          <w:b/>
          <w:bCs/>
          <w:szCs w:val="21"/>
        </w:rPr>
        <w:t>创业板注册制实施以来，板块定位更加清晰：主要支持创新成长类企业，支持传统产业与新技术、新产业、新业态、新模式相融合。</w:t>
      </w:r>
    </w:p>
    <w:p>
      <w:pPr>
        <w:spacing w:before="156" w:beforeLines="50" w:after="156" w:afterLines="50"/>
        <w:ind w:firstLine="317" w:firstLineChars="151"/>
        <w:jc w:val="left"/>
        <w:rPr>
          <w:rFonts w:hint="eastAsia" w:asciiTheme="minorEastAsia" w:hAnsiTheme="minorEastAsia"/>
          <w:b/>
          <w:bCs/>
          <w:szCs w:val="21"/>
        </w:rPr>
      </w:pPr>
      <w:r>
        <w:rPr>
          <w:rFonts w:hint="eastAsia" w:asciiTheme="minorEastAsia" w:hAnsiTheme="minorEastAsia"/>
          <w:szCs w:val="21"/>
        </w:rPr>
        <w:t>而科创板主要面向世界科技前沿、国家重大需求、服务于符合国家战略、突破关键核心技术、市场认可度高的科技创新企业。</w:t>
      </w:r>
      <w:r>
        <w:rPr>
          <w:rFonts w:hint="eastAsia" w:asciiTheme="minorEastAsia" w:hAnsiTheme="minorEastAsia"/>
          <w:b/>
          <w:bCs/>
          <w:szCs w:val="21"/>
        </w:rPr>
        <w:t>科创板侧重于强调服务国家战略的“硬核科技”，主要是集中在新型信息技术、高端装备、生物医药、节能环保、新材料、新能源等板块。</w:t>
      </w:r>
    </w:p>
    <w:p>
      <w:pPr>
        <w:spacing w:before="156" w:beforeLines="50" w:after="156" w:afterLines="50"/>
        <w:ind w:firstLine="317" w:firstLineChars="151"/>
        <w:jc w:val="left"/>
        <w:rPr>
          <w:rFonts w:hint="eastAsia" w:asciiTheme="minorEastAsia" w:hAnsiTheme="minorEastAsia"/>
          <w:b/>
          <w:bCs/>
          <w:szCs w:val="21"/>
        </w:rPr>
      </w:pPr>
    </w:p>
    <w:p>
      <w:pPr>
        <w:numPr>
          <w:ilvl w:val="0"/>
          <w:numId w:val="1"/>
        </w:numPr>
        <w:spacing w:before="156" w:beforeLines="50" w:after="156" w:afterLines="50"/>
        <w:ind w:left="0" w:leftChars="0" w:firstLine="0" w:firstLineChars="0"/>
        <w:jc w:val="left"/>
        <w:rPr>
          <w:rFonts w:hint="eastAsia" w:asciiTheme="minorEastAsia" w:hAnsiTheme="minorEastAsia"/>
          <w:b/>
          <w:bCs/>
          <w:szCs w:val="21"/>
        </w:rPr>
      </w:pPr>
      <w:r>
        <w:rPr>
          <w:rFonts w:hint="eastAsia" w:asciiTheme="minorEastAsia" w:hAnsiTheme="minorEastAsia"/>
          <w:b/>
          <w:bCs/>
          <w:szCs w:val="21"/>
        </w:rPr>
        <w:t>科创50指数</w:t>
      </w:r>
    </w:p>
    <w:p>
      <w:pPr>
        <w:numPr>
          <w:numId w:val="0"/>
        </w:numPr>
        <w:spacing w:before="156" w:beforeLines="50" w:after="156" w:afterLines="50"/>
        <w:ind w:leftChars="0"/>
        <w:jc w:val="left"/>
        <w:rPr>
          <w:rFonts w:hint="eastAsia" w:asciiTheme="minorEastAsia" w:hAnsiTheme="minorEastAsia"/>
          <w:b/>
          <w:bCs/>
          <w:szCs w:val="21"/>
        </w:rPr>
      </w:pPr>
    </w:p>
    <w:p>
      <w:pPr>
        <w:spacing w:before="156" w:beforeLines="50" w:after="156" w:afterLines="50"/>
        <w:ind w:firstLine="317" w:firstLineChars="151"/>
        <w:jc w:val="left"/>
        <w:rPr>
          <w:rFonts w:asciiTheme="minorEastAsia" w:hAnsiTheme="minorEastAsia"/>
          <w:szCs w:val="21"/>
        </w:rPr>
      </w:pPr>
      <w:r>
        <w:rPr>
          <w:rFonts w:hint="eastAsia" w:asciiTheme="minorEastAsia" w:hAnsiTheme="minorEastAsia"/>
          <w:szCs w:val="21"/>
        </w:rPr>
        <w:t>上证科创板</w:t>
      </w:r>
      <w:r>
        <w:rPr>
          <w:rFonts w:asciiTheme="minorEastAsia" w:hAnsiTheme="minorEastAsia"/>
          <w:szCs w:val="21"/>
        </w:rPr>
        <w:t>50成份指数由上海证券交易所科创板中市值大、流动性好的50只证券组成，反映最具市场代表性的一批科创企业的整体表现。</w:t>
      </w:r>
    </w:p>
    <w:p>
      <w:pPr>
        <w:spacing w:before="156" w:beforeLines="50" w:after="156" w:afterLines="50"/>
        <w:ind w:firstLine="317" w:firstLineChars="151"/>
        <w:jc w:val="left"/>
        <w:rPr>
          <w:rFonts w:asciiTheme="minorEastAsia" w:hAnsiTheme="minorEastAsia"/>
          <w:szCs w:val="21"/>
        </w:rPr>
      </w:pPr>
      <w:r>
        <w:rPr>
          <w:rFonts w:hint="eastAsia" w:asciiTheme="minorEastAsia" w:hAnsiTheme="minorEastAsia"/>
          <w:szCs w:val="21"/>
        </w:rPr>
        <w:t>能够入选科创50指数成分股的科创企业都是比较优质的。首先他的样本空间选择需要满足上市时间超过6个月，而且要在科创板上市满12个月的证券数量达到100只到150只以后，入选时间调整为12个月。这是从上市时间来筛选优质的科创企业。</w:t>
      </w:r>
    </w:p>
    <w:p>
      <w:pPr>
        <w:spacing w:before="156" w:beforeLines="50" w:after="156" w:afterLines="50"/>
        <w:ind w:firstLine="317" w:firstLineChars="151"/>
        <w:jc w:val="left"/>
        <w:rPr>
          <w:rFonts w:asciiTheme="minorEastAsia" w:hAnsiTheme="minorEastAsia"/>
          <w:b/>
          <w:bCs/>
          <w:szCs w:val="21"/>
        </w:rPr>
      </w:pPr>
      <w:r>
        <w:rPr>
          <w:rFonts w:hint="eastAsia" w:asciiTheme="minorEastAsia" w:hAnsiTheme="minorEastAsia"/>
          <w:b/>
          <w:bCs/>
          <w:szCs w:val="21"/>
        </w:rPr>
        <w:t>同时要保证上市企业没有重大违规事件和经营问题，并确保无退市警示风险。在这个基础上还要进一步考察科创板上市以来的日均总市值。</w:t>
      </w:r>
    </w:p>
    <w:p>
      <w:pPr>
        <w:spacing w:before="156" w:beforeLines="50" w:after="156" w:afterLines="50"/>
        <w:ind w:firstLine="317" w:firstLineChars="151"/>
        <w:jc w:val="left"/>
        <w:rPr>
          <w:rFonts w:asciiTheme="minorEastAsia" w:hAnsiTheme="minorEastAsia"/>
          <w:szCs w:val="21"/>
        </w:rPr>
      </w:pPr>
      <w:r>
        <w:rPr>
          <w:rFonts w:hint="eastAsia" w:asciiTheme="minorEastAsia" w:hAnsiTheme="minorEastAsia"/>
          <w:szCs w:val="21"/>
        </w:rPr>
        <w:t>满足以上条件的股票才有资格进入选样空间，然后根据日均成交额排名前50的科创板股票组成科创50指数。可以说是优中选优。</w:t>
      </w:r>
    </w:p>
    <w:p>
      <w:pPr>
        <w:spacing w:before="156" w:beforeLines="50" w:after="156" w:afterLines="50"/>
        <w:ind w:firstLine="317" w:firstLineChars="151"/>
        <w:jc w:val="left"/>
        <w:rPr>
          <w:rFonts w:asciiTheme="minorEastAsia" w:hAnsiTheme="minorEastAsia"/>
          <w:szCs w:val="21"/>
        </w:rPr>
      </w:pPr>
      <w:r>
        <w:rPr>
          <w:rFonts w:hint="eastAsia" w:asciiTheme="minorEastAsia" w:hAnsiTheme="minorEastAsia"/>
          <w:szCs w:val="21"/>
        </w:rPr>
        <w:t>科创50指数行业主要集中在电子、医药生物、计算机和机械设备，与纳斯达克100的科技占比相当，这个指数更能作为中国未来硬核科技的代表。</w:t>
      </w:r>
    </w:p>
    <w:tbl>
      <w:tblPr>
        <w:tblStyle w:val="25"/>
        <w:tblW w:w="9180"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58"/>
        <w:gridCol w:w="1236"/>
        <w:gridCol w:w="2470"/>
        <w:gridCol w:w="2732"/>
        <w:gridCol w:w="1984"/>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05" w:hRule="atLeast"/>
        </w:trPr>
        <w:tc>
          <w:tcPr>
            <w:tcW w:w="758" w:type="dxa"/>
            <w:shd w:val="clear" w:color="auto" w:fill="B8CCE4" w:themeFill="accent1" w:themeFillTint="66"/>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FFFFFF"/>
                <w:kern w:val="24"/>
                <w:sz w:val="22"/>
              </w:rPr>
              <w:t>#</w:t>
            </w:r>
          </w:p>
        </w:tc>
        <w:tc>
          <w:tcPr>
            <w:tcW w:w="1236" w:type="dxa"/>
            <w:tcBorders>
              <w:top w:val="nil"/>
              <w:left w:val="nil"/>
              <w:bottom w:val="nil"/>
              <w:right w:val="nil"/>
            </w:tcBorders>
            <w:shd w:val="clear" w:color="auto" w:fill="B8CCE4" w:themeFill="accent1" w:themeFillTint="66"/>
            <w:vAlign w:val="center"/>
          </w:tcPr>
          <w:p>
            <w:pPr>
              <w:pStyle w:val="6"/>
              <w:spacing w:before="0" w:beforeAutospacing="0" w:after="0" w:afterAutospacing="0"/>
              <w:jc w:val="center"/>
              <w:textAlignment w:val="center"/>
              <w:rPr>
                <w:rFonts w:cs="MS PGothic" w:asciiTheme="minorEastAsia" w:hAnsiTheme="minorEastAsia" w:eastAsiaTheme="minorEastAsia"/>
                <w:color w:val="3C3C3C"/>
                <w:kern w:val="24"/>
                <w:sz w:val="22"/>
                <w:szCs w:val="22"/>
              </w:rPr>
            </w:pPr>
            <w:r>
              <w:rPr>
                <w:rFonts w:hint="eastAsia" w:cs="MS PGothic" w:asciiTheme="minorEastAsia" w:hAnsiTheme="minorEastAsia" w:eastAsiaTheme="minorEastAsia"/>
                <w:color w:val="3C3C3C"/>
                <w:kern w:val="24"/>
                <w:sz w:val="22"/>
                <w:szCs w:val="22"/>
              </w:rPr>
              <w:t>股票名称</w:t>
            </w:r>
          </w:p>
        </w:tc>
        <w:tc>
          <w:tcPr>
            <w:tcW w:w="2470" w:type="dxa"/>
            <w:tcBorders>
              <w:top w:val="nil"/>
              <w:left w:val="nil"/>
              <w:bottom w:val="nil"/>
              <w:right w:val="nil"/>
            </w:tcBorders>
            <w:shd w:val="clear" w:color="auto" w:fill="B8CCE4" w:themeFill="accent1" w:themeFillTint="66"/>
            <w:vAlign w:val="center"/>
          </w:tcPr>
          <w:p>
            <w:pPr>
              <w:pStyle w:val="6"/>
              <w:spacing w:before="0" w:beforeAutospacing="0" w:after="0" w:afterAutospacing="0"/>
              <w:jc w:val="center"/>
              <w:textAlignment w:val="center"/>
              <w:rPr>
                <w:rFonts w:cs="MS PGothic" w:asciiTheme="minorEastAsia" w:hAnsiTheme="minorEastAsia" w:eastAsiaTheme="minorEastAsia"/>
                <w:color w:val="3C3C3C"/>
                <w:kern w:val="24"/>
                <w:sz w:val="22"/>
                <w:szCs w:val="22"/>
              </w:rPr>
            </w:pPr>
            <w:r>
              <w:rPr>
                <w:rFonts w:hint="eastAsia" w:cs="MS PGothic" w:asciiTheme="minorEastAsia" w:hAnsiTheme="minorEastAsia" w:eastAsiaTheme="minorEastAsia"/>
                <w:color w:val="3C3C3C"/>
                <w:kern w:val="24"/>
                <w:sz w:val="22"/>
                <w:szCs w:val="22"/>
              </w:rPr>
              <w:t>战略新兴细分产业</w:t>
            </w:r>
          </w:p>
        </w:tc>
        <w:tc>
          <w:tcPr>
            <w:tcW w:w="2732" w:type="dxa"/>
            <w:tcBorders>
              <w:top w:val="nil"/>
              <w:left w:val="nil"/>
              <w:bottom w:val="nil"/>
              <w:right w:val="nil"/>
            </w:tcBorders>
            <w:shd w:val="clear" w:color="auto" w:fill="B8CCE4" w:themeFill="accent1" w:themeFillTint="66"/>
            <w:vAlign w:val="center"/>
          </w:tcPr>
          <w:p>
            <w:pPr>
              <w:pStyle w:val="6"/>
              <w:spacing w:before="0" w:beforeAutospacing="0" w:after="0" w:afterAutospacing="0"/>
              <w:jc w:val="center"/>
              <w:textAlignment w:val="center"/>
              <w:rPr>
                <w:rFonts w:cs="MS PGothic" w:asciiTheme="minorEastAsia" w:hAnsiTheme="minorEastAsia" w:eastAsiaTheme="minorEastAsia"/>
                <w:color w:val="3C3C3C"/>
                <w:kern w:val="24"/>
                <w:sz w:val="22"/>
                <w:szCs w:val="22"/>
              </w:rPr>
            </w:pPr>
            <w:r>
              <w:rPr>
                <w:rFonts w:hint="eastAsia" w:cs="MS PGothic" w:asciiTheme="minorEastAsia" w:hAnsiTheme="minorEastAsia" w:eastAsiaTheme="minorEastAsia"/>
                <w:color w:val="3C3C3C"/>
                <w:kern w:val="24"/>
                <w:sz w:val="22"/>
                <w:szCs w:val="22"/>
              </w:rPr>
              <w:t>总市值(亿元)</w:t>
            </w:r>
          </w:p>
        </w:tc>
        <w:tc>
          <w:tcPr>
            <w:tcW w:w="1984" w:type="dxa"/>
            <w:tcBorders>
              <w:top w:val="nil"/>
              <w:left w:val="nil"/>
              <w:bottom w:val="nil"/>
              <w:right w:val="nil"/>
            </w:tcBorders>
            <w:shd w:val="clear" w:color="auto" w:fill="B8CCE4" w:themeFill="accent1" w:themeFillTint="66"/>
            <w:vAlign w:val="center"/>
          </w:tcPr>
          <w:p>
            <w:pPr>
              <w:pStyle w:val="6"/>
              <w:spacing w:before="0" w:beforeAutospacing="0" w:after="0" w:afterAutospacing="0"/>
              <w:jc w:val="center"/>
              <w:textAlignment w:val="center"/>
              <w:rPr>
                <w:rFonts w:cs="MS PGothic" w:asciiTheme="minorEastAsia" w:hAnsiTheme="minorEastAsia" w:eastAsiaTheme="minorEastAsia"/>
                <w:color w:val="3C3C3C"/>
                <w:kern w:val="24"/>
                <w:sz w:val="22"/>
                <w:szCs w:val="22"/>
              </w:rPr>
            </w:pPr>
            <w:r>
              <w:rPr>
                <w:rFonts w:hint="eastAsia" w:cs="MS PGothic" w:asciiTheme="minorEastAsia" w:hAnsiTheme="minorEastAsia" w:eastAsiaTheme="minorEastAsia"/>
                <w:color w:val="3C3C3C"/>
                <w:kern w:val="24"/>
                <w:sz w:val="22"/>
                <w:szCs w:val="22"/>
              </w:rPr>
              <w:t>股票权重</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05" w:hRule="atLeast"/>
        </w:trPr>
        <w:tc>
          <w:tcPr>
            <w:tcW w:w="758"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1</w:t>
            </w:r>
          </w:p>
        </w:tc>
        <w:tc>
          <w:tcPr>
            <w:tcW w:w="1236"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金山办公</w:t>
            </w:r>
          </w:p>
        </w:tc>
        <w:tc>
          <w:tcPr>
            <w:tcW w:w="2470"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新兴软件和新型信息技术</w:t>
            </w:r>
          </w:p>
        </w:tc>
        <w:tc>
          <w:tcPr>
            <w:tcW w:w="2732"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1406.8</w:t>
            </w:r>
          </w:p>
        </w:tc>
        <w:tc>
          <w:tcPr>
            <w:tcW w:w="1984"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10.1%</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05" w:hRule="atLeast"/>
        </w:trPr>
        <w:tc>
          <w:tcPr>
            <w:tcW w:w="758"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2</w:t>
            </w:r>
          </w:p>
        </w:tc>
        <w:tc>
          <w:tcPr>
            <w:tcW w:w="1236"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传音控股</w:t>
            </w:r>
          </w:p>
        </w:tc>
        <w:tc>
          <w:tcPr>
            <w:tcW w:w="2470"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下一代信息网络产业</w:t>
            </w:r>
          </w:p>
        </w:tc>
        <w:tc>
          <w:tcPr>
            <w:tcW w:w="2732"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857.4</w:t>
            </w:r>
          </w:p>
        </w:tc>
        <w:tc>
          <w:tcPr>
            <w:tcW w:w="1984"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5.1%</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05" w:hRule="atLeast"/>
        </w:trPr>
        <w:tc>
          <w:tcPr>
            <w:tcW w:w="758"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3</w:t>
            </w:r>
          </w:p>
        </w:tc>
        <w:tc>
          <w:tcPr>
            <w:tcW w:w="1236"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中微公司</w:t>
            </w:r>
          </w:p>
        </w:tc>
        <w:tc>
          <w:tcPr>
            <w:tcW w:w="2470"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电子核心产业</w:t>
            </w:r>
          </w:p>
        </w:tc>
        <w:tc>
          <w:tcPr>
            <w:tcW w:w="2732"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845.3</w:t>
            </w:r>
          </w:p>
        </w:tc>
        <w:tc>
          <w:tcPr>
            <w:tcW w:w="1984"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5.0%</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05" w:hRule="atLeast"/>
        </w:trPr>
        <w:tc>
          <w:tcPr>
            <w:tcW w:w="758"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4</w:t>
            </w:r>
          </w:p>
        </w:tc>
        <w:tc>
          <w:tcPr>
            <w:tcW w:w="1236"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南微医学</w:t>
            </w:r>
          </w:p>
        </w:tc>
        <w:tc>
          <w:tcPr>
            <w:tcW w:w="2470"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生物医学工程产业</w:t>
            </w:r>
          </w:p>
        </w:tc>
        <w:tc>
          <w:tcPr>
            <w:tcW w:w="2732"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280.5</w:t>
            </w:r>
          </w:p>
        </w:tc>
        <w:tc>
          <w:tcPr>
            <w:tcW w:w="1984"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5.0%</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05" w:hRule="atLeast"/>
        </w:trPr>
        <w:tc>
          <w:tcPr>
            <w:tcW w:w="758"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5</w:t>
            </w:r>
          </w:p>
        </w:tc>
        <w:tc>
          <w:tcPr>
            <w:tcW w:w="1236"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中国通号</w:t>
            </w:r>
          </w:p>
        </w:tc>
        <w:tc>
          <w:tcPr>
            <w:tcW w:w="2470"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下一代信息网络产业</w:t>
            </w:r>
          </w:p>
        </w:tc>
        <w:tc>
          <w:tcPr>
            <w:tcW w:w="2732"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576.6</w:t>
            </w:r>
          </w:p>
        </w:tc>
        <w:tc>
          <w:tcPr>
            <w:tcW w:w="1984"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4.7%</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05" w:hRule="atLeast"/>
        </w:trPr>
        <w:tc>
          <w:tcPr>
            <w:tcW w:w="758"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6</w:t>
            </w:r>
          </w:p>
        </w:tc>
        <w:tc>
          <w:tcPr>
            <w:tcW w:w="1236"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澜起科技</w:t>
            </w:r>
          </w:p>
        </w:tc>
        <w:tc>
          <w:tcPr>
            <w:tcW w:w="2470"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电子核心产业</w:t>
            </w:r>
          </w:p>
        </w:tc>
        <w:tc>
          <w:tcPr>
            <w:tcW w:w="2732"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842.7</w:t>
            </w:r>
          </w:p>
        </w:tc>
        <w:tc>
          <w:tcPr>
            <w:tcW w:w="1984"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4.0%</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05" w:hRule="atLeast"/>
        </w:trPr>
        <w:tc>
          <w:tcPr>
            <w:tcW w:w="758"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7</w:t>
            </w:r>
          </w:p>
        </w:tc>
        <w:tc>
          <w:tcPr>
            <w:tcW w:w="1236"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柏楚电子</w:t>
            </w:r>
          </w:p>
        </w:tc>
        <w:tc>
          <w:tcPr>
            <w:tcW w:w="2470"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新兴软件和新型信息技术</w:t>
            </w:r>
          </w:p>
        </w:tc>
        <w:tc>
          <w:tcPr>
            <w:tcW w:w="2732"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211.2</w:t>
            </w:r>
          </w:p>
        </w:tc>
        <w:tc>
          <w:tcPr>
            <w:tcW w:w="1984"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3.8%</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05" w:hRule="atLeast"/>
        </w:trPr>
        <w:tc>
          <w:tcPr>
            <w:tcW w:w="758"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8</w:t>
            </w:r>
          </w:p>
        </w:tc>
        <w:tc>
          <w:tcPr>
            <w:tcW w:w="1236"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华熙生物</w:t>
            </w:r>
          </w:p>
        </w:tc>
        <w:tc>
          <w:tcPr>
            <w:tcW w:w="2470"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其他生物业</w:t>
            </w:r>
          </w:p>
        </w:tc>
        <w:tc>
          <w:tcPr>
            <w:tcW w:w="2732"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582.1</w:t>
            </w:r>
          </w:p>
        </w:tc>
        <w:tc>
          <w:tcPr>
            <w:tcW w:w="1984"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3.5%</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05" w:hRule="atLeast"/>
        </w:trPr>
        <w:tc>
          <w:tcPr>
            <w:tcW w:w="758"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9</w:t>
            </w:r>
          </w:p>
        </w:tc>
        <w:tc>
          <w:tcPr>
            <w:tcW w:w="1236"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安恒信息</w:t>
            </w:r>
          </w:p>
        </w:tc>
        <w:tc>
          <w:tcPr>
            <w:tcW w:w="2470"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新兴软件和新型信息技术</w:t>
            </w:r>
          </w:p>
        </w:tc>
        <w:tc>
          <w:tcPr>
            <w:tcW w:w="2732"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187.7</w:t>
            </w:r>
          </w:p>
        </w:tc>
        <w:tc>
          <w:tcPr>
            <w:tcW w:w="1984"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3.3%</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05" w:hRule="atLeast"/>
        </w:trPr>
        <w:tc>
          <w:tcPr>
            <w:tcW w:w="758"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10</w:t>
            </w:r>
          </w:p>
        </w:tc>
        <w:tc>
          <w:tcPr>
            <w:tcW w:w="1236"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泽璟制药</w:t>
            </w:r>
          </w:p>
        </w:tc>
        <w:tc>
          <w:tcPr>
            <w:tcW w:w="2470"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生物医药产业</w:t>
            </w:r>
          </w:p>
        </w:tc>
        <w:tc>
          <w:tcPr>
            <w:tcW w:w="2732"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187.7</w:t>
            </w:r>
          </w:p>
        </w:tc>
        <w:tc>
          <w:tcPr>
            <w:tcW w:w="1984" w:type="dxa"/>
          </w:tcPr>
          <w:p>
            <w:pPr>
              <w:widowControl/>
              <w:jc w:val="center"/>
              <w:textAlignment w:val="center"/>
              <w:rPr>
                <w:rFonts w:cs="Arial" w:asciiTheme="minorEastAsia" w:hAnsiTheme="minorEastAsia"/>
                <w:color w:val="366091" w:themeColor="accent1" w:themeShade="BF"/>
                <w:kern w:val="0"/>
                <w:sz w:val="36"/>
                <w:szCs w:val="36"/>
              </w:rPr>
            </w:pPr>
            <w:r>
              <w:rPr>
                <w:rFonts w:hint="eastAsia" w:cs="MS PGothic" w:asciiTheme="minorEastAsia" w:hAnsiTheme="minorEastAsia"/>
                <w:color w:val="3C3C3C"/>
                <w:kern w:val="24"/>
                <w:sz w:val="22"/>
              </w:rPr>
              <w:t>3.3%</w:t>
            </w:r>
          </w:p>
        </w:tc>
      </w:tr>
    </w:tbl>
    <w:p>
      <w:pPr>
        <w:spacing w:before="156" w:beforeLines="50" w:after="156" w:afterLines="50"/>
        <w:jc w:val="left"/>
        <w:rPr>
          <w:rFonts w:hint="eastAsia" w:asciiTheme="minorEastAsia" w:hAnsiTheme="minorEastAsia"/>
          <w:szCs w:val="21"/>
        </w:rPr>
      </w:pPr>
    </w:p>
    <w:p>
      <w:pPr>
        <w:spacing w:before="156" w:beforeLines="50" w:after="156" w:afterLines="50"/>
        <w:jc w:val="left"/>
        <w:rPr>
          <w:rFonts w:hint="eastAsia" w:asciiTheme="minorEastAsia" w:hAnsiTheme="minorEastAsia"/>
          <w:szCs w:val="21"/>
        </w:rPr>
      </w:pPr>
      <w:r>
        <w:rPr>
          <w:rFonts w:hint="eastAsia" w:asciiTheme="minorEastAsia" w:hAnsiTheme="minorEastAsia"/>
          <w:szCs w:val="21"/>
        </w:rPr>
        <w:t>如上图所示是科创50指数9月14日首次更换成分股后最新的前十大重仓股，主要集中在新一代信息技术产业和生物产业。</w:t>
      </w:r>
    </w:p>
    <w:p>
      <w:pPr>
        <w:spacing w:before="156" w:beforeLines="50" w:after="156" w:afterLines="50"/>
        <w:ind w:firstLine="317" w:firstLineChars="151"/>
        <w:jc w:val="left"/>
        <w:rPr>
          <w:rFonts w:hint="eastAsia" w:asciiTheme="minorEastAsia" w:hAnsiTheme="minorEastAsia"/>
          <w:szCs w:val="21"/>
        </w:rPr>
      </w:pPr>
    </w:p>
    <w:p>
      <w:pPr>
        <w:numPr>
          <w:ilvl w:val="0"/>
          <w:numId w:val="1"/>
        </w:numPr>
        <w:spacing w:before="156" w:beforeLines="50" w:after="156" w:afterLines="50"/>
        <w:ind w:left="0" w:leftChars="0" w:firstLine="0" w:firstLineChars="0"/>
        <w:jc w:val="left"/>
        <w:rPr>
          <w:rFonts w:hint="eastAsia" w:asciiTheme="minorEastAsia" w:hAnsiTheme="minorEastAsia"/>
          <w:b/>
          <w:bCs/>
          <w:szCs w:val="21"/>
        </w:rPr>
      </w:pPr>
      <w:r>
        <w:rPr>
          <w:rFonts w:hint="eastAsia" w:asciiTheme="minorEastAsia" w:hAnsiTheme="minorEastAsia"/>
          <w:b/>
          <w:bCs/>
          <w:szCs w:val="21"/>
        </w:rPr>
        <w:t>如何投资科创板50指数基金</w:t>
      </w:r>
    </w:p>
    <w:p>
      <w:pPr>
        <w:numPr>
          <w:numId w:val="0"/>
        </w:numPr>
        <w:spacing w:before="156" w:beforeLines="50" w:after="156" w:afterLines="50"/>
        <w:ind w:leftChars="0"/>
        <w:jc w:val="left"/>
        <w:rPr>
          <w:rFonts w:hint="eastAsia" w:asciiTheme="minorEastAsia" w:hAnsiTheme="minorEastAsia"/>
          <w:b/>
          <w:bCs/>
          <w:szCs w:val="21"/>
        </w:rPr>
      </w:pPr>
    </w:p>
    <w:p>
      <w:pPr>
        <w:spacing w:before="156" w:beforeLines="50" w:after="156" w:afterLines="50"/>
        <w:jc w:val="left"/>
        <w:rPr>
          <w:rFonts w:asciiTheme="minorEastAsia" w:hAnsiTheme="minorEastAsia"/>
          <w:szCs w:val="21"/>
        </w:rPr>
      </w:pPr>
      <w:r>
        <w:rPr>
          <w:rFonts w:hint="eastAsia" w:asciiTheme="minorEastAsia" w:hAnsiTheme="minorEastAsia"/>
          <w:szCs w:val="21"/>
        </w:rPr>
        <w:t>9月11日，易方达、华泰柏瑞等4家基金公司首批申报的科创板50ETF正式获批。目前易方达科创板50ETF（588080）已经定在9月22日开售，可以开始投资了。</w:t>
      </w:r>
    </w:p>
    <w:p>
      <w:pPr>
        <w:spacing w:before="156" w:beforeLines="50" w:after="156" w:afterLines="50"/>
        <w:jc w:val="left"/>
        <w:rPr>
          <w:rFonts w:hint="eastAsia" w:asciiTheme="minorEastAsia" w:hAnsiTheme="minorEastAsia"/>
          <w:szCs w:val="21"/>
        </w:rPr>
      </w:pPr>
    </w:p>
    <w:p>
      <w:pPr>
        <w:spacing w:before="156" w:beforeLines="50" w:after="156" w:afterLines="50"/>
        <w:jc w:val="left"/>
        <w:rPr>
          <w:rFonts w:asciiTheme="minorEastAsia" w:hAnsiTheme="minorEastAsia"/>
          <w:szCs w:val="21"/>
        </w:rPr>
      </w:pPr>
      <w:r>
        <w:rPr>
          <w:rFonts w:hint="eastAsia" w:asciiTheme="minorEastAsia" w:hAnsiTheme="minorEastAsia"/>
          <w:szCs w:val="21"/>
        </w:rPr>
        <w:t>易方达自创立之初便深深烙印着科创基因，2001年诞生时便将自己的英文名命名为E Fund，其中“e”便是当时互联网的标签，并由此有了“易方达”的中文名称。在ETF管理方面，易方达是科创板的“兄弟”板块创业板的首只ETF开发者，2011年初在其市场容量初步成型、具备开发条件后便第一时间上报了我国首只创业板指数ETF，也是当时唯一一只上报的创业板ETF。</w:t>
      </w:r>
    </w:p>
    <w:p>
      <w:pPr>
        <w:spacing w:before="156" w:beforeLines="50" w:after="156" w:afterLines="50"/>
        <w:jc w:val="left"/>
        <w:rPr>
          <w:rFonts w:asciiTheme="minorEastAsia" w:hAnsiTheme="minorEastAsia"/>
          <w:szCs w:val="21"/>
        </w:rPr>
      </w:pPr>
      <w:r>
        <w:rPr>
          <w:rFonts w:asciiTheme="minorEastAsia" w:hAnsiTheme="minorEastAsia"/>
          <w:szCs w:val="21"/>
        </w:rPr>
        <w:t>此次易方达为</w:t>
      </w:r>
      <w:r>
        <w:rPr>
          <w:rFonts w:hint="eastAsia" w:asciiTheme="minorEastAsia" w:hAnsiTheme="minorEastAsia"/>
          <w:szCs w:val="21"/>
        </w:rPr>
        <w:t>科创板50ETF（588080）配备的两位基金经理中，成曦就是易方达创业板ETF的基金经理，具有丰富的ETF管理运作经验。另一位拟任基金经理林伟斌是指数投资部总经理、指数投资决策委员会成员，在上交所去年举办的中国ETF十五周年峰会中被评为“十佳ETF行业分析师”。</w:t>
      </w:r>
    </w:p>
    <w:p>
      <w:pPr>
        <w:spacing w:before="156" w:beforeLines="50" w:after="156" w:afterLines="50"/>
        <w:jc w:val="left"/>
        <w:rPr>
          <w:rFonts w:asciiTheme="minorEastAsia" w:hAnsiTheme="minorEastAsia"/>
          <w:b/>
          <w:bCs/>
          <w:szCs w:val="21"/>
        </w:rPr>
      </w:pPr>
      <w:r>
        <w:rPr>
          <w:rFonts w:hint="eastAsia" w:asciiTheme="minorEastAsia" w:hAnsiTheme="minorEastAsia"/>
          <w:szCs w:val="21"/>
        </w:rPr>
        <w:t>对于跟踪同指数的ETF产品来说，基金经理和基金公司的指数投资管理实力和精细化运营能力尤为重要。</w:t>
      </w:r>
      <w:r>
        <w:rPr>
          <w:rFonts w:hint="eastAsia" w:asciiTheme="minorEastAsia" w:hAnsiTheme="minorEastAsia"/>
          <w:b/>
          <w:bCs/>
          <w:szCs w:val="21"/>
        </w:rPr>
        <w:t>如果想要投资科创50指数基金，可以优先考虑易方达科创板50ET。</w:t>
      </w:r>
    </w:p>
    <w:p>
      <w:pPr>
        <w:widowControl/>
        <w:spacing w:line="400" w:lineRule="exact"/>
        <w:jc w:val="left"/>
        <w:rPr>
          <w:rFonts w:ascii="仿宋" w:hAnsi="仿宋" w:eastAsia="仿宋" w:cs="Tahoma"/>
          <w:color w:val="000000"/>
          <w:kern w:val="0"/>
          <w:sz w:val="28"/>
          <w:szCs w:val="28"/>
        </w:rPr>
      </w:pP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 w:name="MS PGothic">
    <w:panose1 w:val="020B0600070205080204"/>
    <w:charset w:val="80"/>
    <w:family w:val="swiss"/>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9C73F3"/>
    <w:multiLevelType w:val="singleLevel"/>
    <w:tmpl w:val="FC9C73F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E1AC1"/>
    <w:rsid w:val="00013D72"/>
    <w:rsid w:val="00224B4B"/>
    <w:rsid w:val="00233DFB"/>
    <w:rsid w:val="00351F61"/>
    <w:rsid w:val="00542B8D"/>
    <w:rsid w:val="0055317D"/>
    <w:rsid w:val="00577096"/>
    <w:rsid w:val="006A022E"/>
    <w:rsid w:val="00780102"/>
    <w:rsid w:val="00783BCC"/>
    <w:rsid w:val="007C4F0F"/>
    <w:rsid w:val="00871D03"/>
    <w:rsid w:val="00875A16"/>
    <w:rsid w:val="00A26A32"/>
    <w:rsid w:val="00A53E97"/>
    <w:rsid w:val="00A82F4D"/>
    <w:rsid w:val="00AE3360"/>
    <w:rsid w:val="00B16941"/>
    <w:rsid w:val="00B807B9"/>
    <w:rsid w:val="00B910AF"/>
    <w:rsid w:val="00BA72D9"/>
    <w:rsid w:val="00C233A2"/>
    <w:rsid w:val="00CB6025"/>
    <w:rsid w:val="00FE1AC1"/>
    <w:rsid w:val="05D3487F"/>
    <w:rsid w:val="05DD00C2"/>
    <w:rsid w:val="0983196C"/>
    <w:rsid w:val="102078E9"/>
    <w:rsid w:val="137B38FF"/>
    <w:rsid w:val="13BA4FBC"/>
    <w:rsid w:val="15566253"/>
    <w:rsid w:val="15F24B5F"/>
    <w:rsid w:val="16644E88"/>
    <w:rsid w:val="188C53B9"/>
    <w:rsid w:val="191465EA"/>
    <w:rsid w:val="19286736"/>
    <w:rsid w:val="1AC437B1"/>
    <w:rsid w:val="1DBC524B"/>
    <w:rsid w:val="21AB0A8C"/>
    <w:rsid w:val="228A4310"/>
    <w:rsid w:val="24263DD3"/>
    <w:rsid w:val="28286A15"/>
    <w:rsid w:val="29BD1572"/>
    <w:rsid w:val="2A3575D9"/>
    <w:rsid w:val="2D2A76F9"/>
    <w:rsid w:val="2D812ED5"/>
    <w:rsid w:val="2DE66F12"/>
    <w:rsid w:val="2FF97CAF"/>
    <w:rsid w:val="30E1480D"/>
    <w:rsid w:val="352946CD"/>
    <w:rsid w:val="357A12F1"/>
    <w:rsid w:val="381D4E27"/>
    <w:rsid w:val="3875535C"/>
    <w:rsid w:val="38A80959"/>
    <w:rsid w:val="3A36183F"/>
    <w:rsid w:val="3EFB62F7"/>
    <w:rsid w:val="40B56216"/>
    <w:rsid w:val="42FC17EB"/>
    <w:rsid w:val="441E623A"/>
    <w:rsid w:val="48DA6819"/>
    <w:rsid w:val="4C18324E"/>
    <w:rsid w:val="4CE97840"/>
    <w:rsid w:val="4F387F45"/>
    <w:rsid w:val="50994A59"/>
    <w:rsid w:val="51E54E18"/>
    <w:rsid w:val="53277845"/>
    <w:rsid w:val="53C17370"/>
    <w:rsid w:val="53E166B7"/>
    <w:rsid w:val="54910637"/>
    <w:rsid w:val="583D5FDE"/>
    <w:rsid w:val="5A297315"/>
    <w:rsid w:val="5A6D12FD"/>
    <w:rsid w:val="5AEE25FE"/>
    <w:rsid w:val="5E6A4144"/>
    <w:rsid w:val="5F314654"/>
    <w:rsid w:val="68A02CA9"/>
    <w:rsid w:val="68F31F70"/>
    <w:rsid w:val="69C73DB1"/>
    <w:rsid w:val="6FF92A8C"/>
    <w:rsid w:val="753E6545"/>
    <w:rsid w:val="7CC111F3"/>
    <w:rsid w:val="7DC5462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9"/>
    <w:qFormat/>
    <w:uiPriority w:val="99"/>
    <w:pPr>
      <w:ind w:left="100" w:leftChars="2500"/>
    </w:pPr>
  </w:style>
  <w:style w:type="paragraph" w:styleId="3">
    <w:name w:val="Balloon Text"/>
    <w:basedOn w:val="1"/>
    <w:link w:val="15"/>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qFormat/>
    <w:uiPriority w:val="99"/>
    <w:rPr>
      <w:color w:val="0000FF"/>
      <w:u w:val="single"/>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apple-converted-space"/>
    <w:basedOn w:val="8"/>
    <w:qFormat/>
    <w:uiPriority w:val="0"/>
  </w:style>
  <w:style w:type="character" w:customStyle="1" w:styleId="13">
    <w:name w:val="question_text"/>
    <w:basedOn w:val="8"/>
    <w:qFormat/>
    <w:uiPriority w:val="0"/>
  </w:style>
  <w:style w:type="paragraph" w:customStyle="1" w:styleId="14">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5">
    <w:name w:val="批注框文本 字符"/>
    <w:basedOn w:val="8"/>
    <w:link w:val="3"/>
    <w:qFormat/>
    <w:uiPriority w:val="99"/>
    <w:rPr>
      <w:sz w:val="18"/>
      <w:szCs w:val="18"/>
    </w:rPr>
  </w:style>
  <w:style w:type="paragraph" w:customStyle="1" w:styleId="16">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7">
    <w:name w:val="reply_text"/>
    <w:basedOn w:val="8"/>
    <w:qFormat/>
    <w:uiPriority w:val="0"/>
  </w:style>
  <w:style w:type="paragraph" w:styleId="18">
    <w:name w:val="List Paragraph"/>
    <w:basedOn w:val="1"/>
    <w:qFormat/>
    <w:uiPriority w:val="34"/>
    <w:pPr>
      <w:ind w:firstLine="420" w:firstLineChars="200"/>
    </w:pPr>
  </w:style>
  <w:style w:type="character" w:customStyle="1" w:styleId="19">
    <w:name w:val="日期 字符"/>
    <w:basedOn w:val="8"/>
    <w:link w:val="2"/>
    <w:qFormat/>
    <w:uiPriority w:val="99"/>
  </w:style>
  <w:style w:type="character" w:customStyle="1" w:styleId="20">
    <w:name w:val="combined_like_num"/>
    <w:basedOn w:val="8"/>
    <w:qFormat/>
    <w:uiPriority w:val="0"/>
  </w:style>
  <w:style w:type="character" w:customStyle="1" w:styleId="21">
    <w:name w:val="combined_comment_num"/>
    <w:basedOn w:val="8"/>
    <w:qFormat/>
    <w:uiPriority w:val="0"/>
  </w:style>
  <w:style w:type="character" w:customStyle="1" w:styleId="22">
    <w:name w:val="question-contain"/>
    <w:basedOn w:val="8"/>
    <w:qFormat/>
    <w:uiPriority w:val="0"/>
  </w:style>
  <w:style w:type="character" w:customStyle="1" w:styleId="23">
    <w:name w:val="comment"/>
    <w:basedOn w:val="8"/>
    <w:qFormat/>
    <w:uiPriority w:val="0"/>
  </w:style>
  <w:style w:type="character" w:customStyle="1" w:styleId="24">
    <w:name w:val="text"/>
    <w:basedOn w:val="8"/>
    <w:qFormat/>
    <w:uiPriority w:val="0"/>
  </w:style>
  <w:style w:type="table" w:customStyle="1" w:styleId="25">
    <w:name w:val="Grid Table 7 Colorful Accent 1"/>
    <w:basedOn w:val="7"/>
    <w:uiPriority w:val="52"/>
    <w:rPr>
      <w:color w:val="366091" w:themeColor="accent1" w:themeShade="BF"/>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bottom w:val="single" w:color="95B3D7" w:themeColor="accent1" w:themeTint="99" w:sz="4" w:space="0"/>
        </w:tcBorders>
      </w:tcPr>
    </w:tblStylePr>
    <w:tblStylePr w:type="nwCell">
      <w:tcPr>
        <w:tcBorders>
          <w:bottom w:val="single" w:color="95B3D7" w:themeColor="accent1" w:themeTint="99" w:sz="4" w:space="0"/>
        </w:tcBorders>
      </w:tcPr>
    </w:tblStylePr>
    <w:tblStylePr w:type="seCell">
      <w:tcPr>
        <w:tcBorders>
          <w:top w:val="single" w:color="95B3D7" w:themeColor="accent1" w:themeTint="99" w:sz="4" w:space="0"/>
        </w:tcBorders>
      </w:tcPr>
    </w:tblStylePr>
    <w:tblStylePr w:type="swCell">
      <w:tcPr>
        <w:tcBorders>
          <w:top w:val="single" w:color="95B3D7" w:themeColor="accent1" w:themeTint="99"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datastoreItem>
</file>

<file path=docProps/app.xml><?xml version="1.0" encoding="utf-8"?>
<Properties xmlns="http://schemas.openxmlformats.org/officeDocument/2006/extended-properties" xmlns:vt="http://schemas.openxmlformats.org/officeDocument/2006/docPropsVTypes">
  <Template>Normal</Template>
  <Pages>6</Pages>
  <Words>344</Words>
  <Characters>1961</Characters>
  <Lines>16</Lines>
  <Paragraphs>4</Paragraphs>
  <TotalTime>4</TotalTime>
  <ScaleCrop>false</ScaleCrop>
  <LinksUpToDate>false</LinksUpToDate>
  <CharactersWithSpaces>2301</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2020-09-20T15:03:50Z</dcterms:modified>
  <cp:revision>219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