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36"/>
        <w:jc w:val="center"/>
        <w:rPr>
          <w:rFonts w:hint="default" w:ascii="黑体" w:hAnsi="黑体" w:eastAsia="黑体" w:cs="宋体"/>
          <w:b/>
          <w:bCs/>
          <w:color w:val="121212"/>
          <w:kern w:val="0"/>
          <w:sz w:val="36"/>
          <w:szCs w:val="36"/>
          <w:lang w:val="en-US" w:eastAsia="zh-CN"/>
        </w:rPr>
      </w:pPr>
      <w:r>
        <w:rPr>
          <w:rFonts w:hint="eastAsia" w:ascii="黑体" w:hAnsi="黑体" w:eastAsia="黑体" w:cs="宋体"/>
          <w:b/>
          <w:bCs/>
          <w:color w:val="121212"/>
          <w:kern w:val="0"/>
          <w:sz w:val="36"/>
          <w:szCs w:val="36"/>
          <w:lang w:val="en-US" w:eastAsia="zh-CN"/>
        </w:rPr>
        <w:t>主动</w:t>
      </w:r>
      <w:r>
        <w:rPr>
          <w:rFonts w:hint="eastAsia" w:ascii="黑体" w:hAnsi="黑体" w:eastAsia="黑体" w:cs="宋体"/>
          <w:b/>
          <w:bCs/>
          <w:color w:val="121212"/>
          <w:kern w:val="0"/>
          <w:sz w:val="36"/>
          <w:szCs w:val="36"/>
        </w:rPr>
        <w:t>基金排行</w:t>
      </w:r>
      <w:r>
        <w:rPr>
          <w:rFonts w:hint="eastAsia" w:ascii="黑体" w:hAnsi="黑体" w:eastAsia="黑体" w:cs="宋体"/>
          <w:b/>
          <w:bCs/>
          <w:color w:val="121212"/>
          <w:kern w:val="0"/>
          <w:sz w:val="36"/>
          <w:szCs w:val="36"/>
          <w:lang w:val="en-US" w:eastAsia="zh-CN"/>
        </w:rPr>
        <w:t>榜-第九期</w:t>
      </w:r>
      <w:bookmarkStart w:id="0" w:name="_GoBack"/>
      <w:bookmarkEnd w:id="0"/>
    </w:p>
    <w:p>
      <w:pPr>
        <w:ind w:firstLine="420" w:firstLineChars="0"/>
        <w:rPr>
          <w:rFonts w:ascii="宋体" w:hAnsi="宋体" w:eastAsia="宋体"/>
          <w:sz w:val="24"/>
          <w:szCs w:val="24"/>
        </w:rPr>
      </w:pPr>
      <w:r>
        <w:rPr>
          <w:rFonts w:hint="eastAsia" w:ascii="宋体" w:hAnsi="宋体" w:eastAsia="宋体"/>
          <w:sz w:val="24"/>
          <w:szCs w:val="24"/>
        </w:rPr>
        <w:t>本文从基金业绩排行出发，筛选各种类中的优质基金，并做一个简单的排行。首先明确几个概念。</w:t>
      </w:r>
    </w:p>
    <w:p>
      <w:pPr>
        <w:ind w:firstLine="420" w:firstLineChars="0"/>
        <w:rPr>
          <w:rFonts w:hint="eastAsia" w:ascii="宋体" w:hAnsi="宋体" w:eastAsia="宋体"/>
          <w:sz w:val="24"/>
          <w:szCs w:val="24"/>
        </w:rPr>
      </w:pPr>
      <w:r>
        <w:rPr>
          <w:rFonts w:hint="eastAsia" w:ascii="宋体" w:hAnsi="宋体" w:eastAsia="宋体"/>
          <w:sz w:val="24"/>
          <w:szCs w:val="24"/>
        </w:rPr>
        <w:t>1.波动率：波动率是金融资产价格的波动程度，是对</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"https://link.zhihu.com/?target=https://baike.baidu.com/item/%E8%B5%84%E4%BA%A7%E6%94%B6%E7%9B%8A%E7%8E%87/2429091"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资产收益率</w:t>
      </w:r>
      <w:r>
        <w:rPr>
          <w:rFonts w:hint="eastAsia" w:ascii="宋体" w:hAnsi="宋体" w:eastAsia="宋体"/>
          <w:sz w:val="24"/>
          <w:szCs w:val="24"/>
        </w:rPr>
        <w:fldChar w:fldCharType="end"/>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"https://link.zhihu.com/?target=https://baike.baidu.com/item/%E4%B8%8D%E7%A1%AE%E5%AE%9A%E6%80%A7/8250115"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不确定性</w:t>
      </w:r>
      <w:r>
        <w:rPr>
          <w:rFonts w:hint="eastAsia" w:ascii="宋体" w:hAnsi="宋体" w:eastAsia="宋体"/>
          <w:sz w:val="24"/>
          <w:szCs w:val="24"/>
        </w:rPr>
        <w:fldChar w:fldCharType="end"/>
      </w:r>
      <w:r>
        <w:rPr>
          <w:rFonts w:hint="eastAsia" w:ascii="宋体" w:hAnsi="宋体" w:eastAsia="宋体"/>
          <w:sz w:val="24"/>
          <w:szCs w:val="24"/>
        </w:rPr>
        <w:t>的衡量，用于反映</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"https://link.zhihu.com/?target=https://baike.baidu.com/item/%E9%87%91%E8%9E%8D%E8%B5%84%E4%BA%A7/4468342"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金融资产</w:t>
      </w:r>
      <w:r>
        <w:rPr>
          <w:rFonts w:hint="eastAsia" w:ascii="宋体" w:hAnsi="宋体" w:eastAsia="宋体"/>
          <w:sz w:val="24"/>
          <w:szCs w:val="24"/>
        </w:rPr>
        <w:fldChar w:fldCharType="end"/>
      </w:r>
      <w:r>
        <w:rPr>
          <w:rFonts w:hint="eastAsia" w:ascii="宋体" w:hAnsi="宋体" w:eastAsia="宋体"/>
          <w:sz w:val="24"/>
          <w:szCs w:val="24"/>
        </w:rPr>
        <w:t>的风险水平。波动率越高，金融资产价格的波动越剧烈，资产收益率的不确定性就越强；波动率越低，金融资产价格的波动越平缓，资产收益率的确定性就越强。</w:t>
      </w:r>
    </w:p>
    <w:p>
      <w:pPr>
        <w:ind w:firstLine="420" w:firstLineChars="0"/>
        <w:rPr>
          <w:rFonts w:hint="eastAsia" w:ascii="宋体" w:hAnsi="宋体" w:eastAsia="宋体"/>
          <w:sz w:val="24"/>
          <w:szCs w:val="24"/>
        </w:rPr>
      </w:pPr>
      <w:r>
        <w:rPr>
          <w:rFonts w:hint="eastAsia" w:ascii="宋体" w:hAnsi="宋体" w:eastAsia="宋体"/>
          <w:sz w:val="24"/>
          <w:szCs w:val="24"/>
        </w:rPr>
        <w:t>2.夏普比率:夏普比率（Sharpe Ratio），又被称为夏普指数 --- 基金绩效评价标准化指标。风险调整后的</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"https://link.zhihu.com/?target=https://baike.baidu.com/item/%E6%94%B6%E7%9B%8A%E7%8E%87/4533890"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收益率</w:t>
      </w:r>
      <w:r>
        <w:rPr>
          <w:rFonts w:hint="eastAsia" w:ascii="宋体" w:hAnsi="宋体" w:eastAsia="宋体"/>
          <w:sz w:val="24"/>
          <w:szCs w:val="24"/>
        </w:rPr>
        <w:fldChar w:fldCharType="end"/>
      </w:r>
      <w:r>
        <w:rPr>
          <w:rFonts w:hint="eastAsia" w:ascii="宋体" w:hAnsi="宋体" w:eastAsia="宋体"/>
          <w:sz w:val="24"/>
          <w:szCs w:val="24"/>
        </w:rPr>
        <w:t>就是一个可以同时对收益与风险加以考虑的综合指标，长期能够排除</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"https://link.zhihu.com/?target=https://baike.baidu.com/item/%E9%A3%8E%E9%99%A9%E5%9B%A0%E7%B4%A0/10506197"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风险因素</w:t>
      </w:r>
      <w:r>
        <w:rPr>
          <w:rFonts w:hint="eastAsia" w:ascii="宋体" w:hAnsi="宋体" w:eastAsia="宋体"/>
          <w:sz w:val="24"/>
          <w:szCs w:val="24"/>
        </w:rPr>
        <w:fldChar w:fldCharType="end"/>
      </w:r>
      <w:r>
        <w:rPr>
          <w:rFonts w:hint="eastAsia" w:ascii="宋体" w:hAnsi="宋体" w:eastAsia="宋体"/>
          <w:sz w:val="24"/>
          <w:szCs w:val="24"/>
        </w:rPr>
        <w:t>对绩效评估的不利影响。夏普比率就是一个可以同时对收益与风险加以综合考虑的三大经典指标之一。 投资中有一个常规的特点，即投资标的的预期报酬越高，投资人所能忍受的波动风险越高；反之，预期报酬越低，波动风险也越低。</w:t>
      </w:r>
    </w:p>
    <w:p>
      <w:pPr>
        <w:ind w:firstLine="420" w:firstLineChars="0"/>
        <w:rPr>
          <w:rFonts w:hint="eastAsia" w:ascii="宋体" w:hAnsi="宋体" w:eastAsia="宋体"/>
          <w:sz w:val="24"/>
          <w:szCs w:val="24"/>
        </w:rPr>
      </w:pPr>
      <w:r>
        <w:rPr>
          <w:rFonts w:hint="eastAsia" w:ascii="宋体" w:hAnsi="宋体" w:eastAsia="宋体"/>
          <w:sz w:val="24"/>
          <w:szCs w:val="24"/>
        </w:rPr>
        <w:t>3.最大回撤:指在选定周期内任一历史时点往后推，产品净值走到最低点时的收益率回撤幅度的最大值。最大回撤用来描述买入产品后可能出现的最糟糕的情况。最大回撤是一个重要的风险指标，对于</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"https://link.zhihu.com/?target=https://baike.baidu.com/item/%E5%AF%B9%E5%86%B2%E5%9F%BA%E9%87%91/13352853"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对冲基金</w:t>
      </w:r>
      <w:r>
        <w:rPr>
          <w:rFonts w:hint="eastAsia" w:ascii="宋体" w:hAnsi="宋体" w:eastAsia="宋体"/>
          <w:sz w:val="24"/>
          <w:szCs w:val="24"/>
        </w:rPr>
        <w:fldChar w:fldCharType="end"/>
      </w:r>
      <w:r>
        <w:rPr>
          <w:rFonts w:hint="eastAsia" w:ascii="宋体" w:hAnsi="宋体" w:eastAsia="宋体"/>
          <w:sz w:val="24"/>
          <w:szCs w:val="24"/>
        </w:rPr>
        <w:t>和数量化</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"https://link.zhihu.com/?target=https://baike.baidu.com/item/%E7%AD%96%E7%95%A5%E4%BA%A4%E6%98%93/6121603"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策略交易</w:t>
      </w:r>
      <w:r>
        <w:rPr>
          <w:rFonts w:hint="eastAsia" w:ascii="宋体" w:hAnsi="宋体" w:eastAsia="宋体"/>
          <w:sz w:val="24"/>
          <w:szCs w:val="24"/>
        </w:rPr>
        <w:fldChar w:fldCharType="end"/>
      </w:r>
      <w:r>
        <w:rPr>
          <w:rFonts w:hint="eastAsia" w:ascii="宋体" w:hAnsi="宋体" w:eastAsia="宋体"/>
          <w:sz w:val="24"/>
          <w:szCs w:val="24"/>
        </w:rPr>
        <w:t>，该指标比波动率还重要。</w:t>
      </w:r>
    </w:p>
    <w:p>
      <w:pPr>
        <w:ind w:firstLine="420" w:firstLineChars="0"/>
        <w:rPr>
          <w:rFonts w:hint="eastAsia" w:ascii="宋体" w:hAnsi="宋体" w:eastAsia="宋体"/>
          <w:sz w:val="24"/>
          <w:szCs w:val="24"/>
        </w:rPr>
      </w:pPr>
      <w:r>
        <w:rPr>
          <w:rFonts w:hint="eastAsia" w:ascii="宋体" w:hAnsi="宋体" w:eastAsia="宋体"/>
          <w:sz w:val="24"/>
          <w:szCs w:val="24"/>
        </w:rPr>
        <w:t>本文中的波动率、夏普比率和最大回撤统一指近两年或近三年指标。</w:t>
      </w:r>
    </w:p>
    <w:p>
      <w:pPr>
        <w:ind w:firstLine="420" w:firstLineChars="0"/>
        <w:rPr>
          <w:rFonts w:hint="eastAsia" w:ascii="宋体" w:hAnsi="宋体" w:eastAsia="宋体"/>
          <w:sz w:val="24"/>
          <w:szCs w:val="24"/>
        </w:rPr>
      </w:pPr>
      <w:r>
        <w:rPr>
          <w:rFonts w:hint="eastAsia" w:ascii="宋体" w:hAnsi="宋体" w:eastAsia="宋体"/>
          <w:sz w:val="24"/>
          <w:szCs w:val="24"/>
        </w:rPr>
        <w:t>近三年中，沪深300 夏普比例为0.44，最大回撤为-18。19%，波动率为21.72% 。</w:t>
      </w:r>
    </w:p>
    <w:p>
      <w:pPr>
        <w:ind w:firstLine="420" w:firstLineChars="0"/>
        <w:rPr>
          <w:rFonts w:hint="eastAsia" w:ascii="宋体" w:hAnsi="宋体" w:eastAsia="宋体"/>
          <w:sz w:val="24"/>
          <w:szCs w:val="24"/>
        </w:rPr>
      </w:pPr>
      <w:r>
        <w:rPr>
          <w:rFonts w:hint="eastAsia" w:ascii="宋体" w:hAnsi="宋体" w:eastAsia="宋体"/>
          <w:sz w:val="24"/>
          <w:szCs w:val="24"/>
        </w:rPr>
        <w:t>股票型：选取近1月、近3月、近6月、今年以来业绩排行前1/4，近1年、近2年、近3年来业绩排行前1/10,基金规模在2亿-300亿以内，基金经理从业3年以上，夏普比率大于1的基金。 如图所示：</w:t>
      </w:r>
    </w:p>
    <w:p>
      <w:pPr>
        <w:ind w:firstLine="0" w:firstLineChars="0"/>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68595" cy="3837940"/>
            <wp:effectExtent l="0" t="0" r="4445" b="2540"/>
            <wp:docPr id="1" name="图片 1" descr="NVOBH2%3~599KESM_T4T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VOBH2%3~599KESM_T4T9$A"/>
                    <pic:cNvPicPr>
                      <a:picLocks noChangeAspect="1"/>
                    </pic:cNvPicPr>
                  </pic:nvPicPr>
                  <pic:blipFill>
                    <a:blip r:embed="rId4"/>
                    <a:srcRect b="5266"/>
                    <a:stretch>
                      <a:fillRect/>
                    </a:stretch>
                  </pic:blipFill>
                  <pic:spPr>
                    <a:xfrm>
                      <a:off x="0" y="0"/>
                      <a:ext cx="5268595" cy="3837940"/>
                    </a:xfrm>
                    <a:prstGeom prst="rect">
                      <a:avLst/>
                    </a:prstGeom>
                  </pic:spPr>
                </pic:pic>
              </a:graphicData>
            </a:graphic>
          </wp:inline>
        </w:drawing>
      </w:r>
    </w:p>
    <w:p>
      <w:pPr>
        <w:rPr>
          <w:rFonts w:ascii="宋体" w:hAnsi="宋体" w:eastAsia="宋体"/>
          <w:sz w:val="24"/>
          <w:szCs w:val="24"/>
        </w:rPr>
      </w:pPr>
    </w:p>
    <w:p>
      <w:pPr>
        <w:ind w:firstLine="420" w:firstLineChars="0"/>
        <w:rPr>
          <w:rFonts w:hint="eastAsia" w:ascii="宋体" w:hAnsi="宋体" w:eastAsia="宋体"/>
          <w:sz w:val="24"/>
          <w:szCs w:val="24"/>
        </w:rPr>
      </w:pPr>
      <w:r>
        <w:rPr>
          <w:rFonts w:hint="eastAsia" w:ascii="宋体" w:hAnsi="宋体" w:eastAsia="宋体"/>
          <w:sz w:val="24"/>
          <w:szCs w:val="24"/>
        </w:rPr>
        <w:t>混合型：选取近1月、近3月、近6月业绩排行前1/4，近1年、今年来</w:t>
      </w:r>
      <w:r>
        <w:rPr>
          <w:rFonts w:hint="eastAsia" w:ascii="宋体" w:hAnsi="宋体" w:eastAsia="宋体"/>
          <w:sz w:val="24"/>
          <w:szCs w:val="24"/>
          <w:lang w:eastAsia="zh-CN"/>
        </w:rPr>
        <w:t>、</w:t>
      </w:r>
      <w:r>
        <w:rPr>
          <w:rFonts w:hint="eastAsia" w:ascii="宋体" w:hAnsi="宋体" w:eastAsia="宋体"/>
          <w:sz w:val="24"/>
          <w:szCs w:val="24"/>
        </w:rPr>
        <w:t>近2年、近3年来业绩排行前1/10,基金规模在3亿-300亿以内，基金经理从业3年以上，夏普比率大于1的基金。 如图所示：</w:t>
      </w: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66055" cy="5763895"/>
            <wp:effectExtent l="0" t="0" r="6985" b="12065"/>
            <wp:docPr id="2" name="图片 2" descr="}YQ@KTKZ{51OJ27L(0JTP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Q@KTKZ{51OJ27L(0JTP0O"/>
                    <pic:cNvPicPr>
                      <a:picLocks noChangeAspect="1"/>
                    </pic:cNvPicPr>
                  </pic:nvPicPr>
                  <pic:blipFill>
                    <a:blip r:embed="rId5"/>
                    <a:srcRect b="3323"/>
                    <a:stretch>
                      <a:fillRect/>
                    </a:stretch>
                  </pic:blipFill>
                  <pic:spPr>
                    <a:xfrm>
                      <a:off x="0" y="0"/>
                      <a:ext cx="5266055" cy="5763895"/>
                    </a:xfrm>
                    <a:prstGeom prst="rect">
                      <a:avLst/>
                    </a:prstGeom>
                  </pic:spPr>
                </pic:pic>
              </a:graphicData>
            </a:graphic>
          </wp:inline>
        </w:drawing>
      </w:r>
    </w:p>
    <w:p>
      <w:pPr>
        <w:rPr>
          <w:rFonts w:ascii="宋体" w:hAnsi="宋体" w:eastAsia="宋体"/>
          <w:sz w:val="24"/>
          <w:szCs w:val="24"/>
        </w:rPr>
      </w:pPr>
    </w:p>
    <w:p>
      <w:pPr>
        <w:ind w:firstLine="420" w:firstLineChars="0"/>
        <w:rPr>
          <w:rFonts w:hint="eastAsia" w:ascii="宋体" w:hAnsi="宋体" w:eastAsia="宋体"/>
          <w:sz w:val="24"/>
          <w:szCs w:val="24"/>
        </w:rPr>
      </w:pPr>
      <w:r>
        <w:rPr>
          <w:rFonts w:hint="eastAsia" w:ascii="宋体" w:hAnsi="宋体" w:eastAsia="宋体"/>
          <w:sz w:val="24"/>
          <w:szCs w:val="24"/>
        </w:rPr>
        <w:t>债券型：选取近1月、近3月、近6月、今年以来业绩排行前1/4，近1年、近2年</w:t>
      </w:r>
      <w:r>
        <w:rPr>
          <w:rFonts w:hint="eastAsia" w:ascii="宋体" w:hAnsi="宋体" w:eastAsia="宋体"/>
          <w:sz w:val="24"/>
          <w:szCs w:val="24"/>
          <w:lang w:eastAsia="zh-CN"/>
        </w:rPr>
        <w:t>、</w:t>
      </w:r>
      <w:r>
        <w:rPr>
          <w:rFonts w:hint="eastAsia" w:ascii="宋体" w:hAnsi="宋体" w:eastAsia="宋体"/>
          <w:sz w:val="24"/>
          <w:szCs w:val="24"/>
          <w:lang w:val="en-US" w:eastAsia="zh-CN"/>
        </w:rPr>
        <w:t>近3年</w:t>
      </w:r>
      <w:r>
        <w:rPr>
          <w:rFonts w:hint="eastAsia" w:ascii="宋体" w:hAnsi="宋体" w:eastAsia="宋体"/>
          <w:sz w:val="24"/>
          <w:szCs w:val="24"/>
        </w:rPr>
        <w:t>业绩排行前1/10，回撤在-5%以内，基金规模大于2亿以上，基金经理从业3年以上，夏普比率大于1的基金。 如图所示：</w:t>
      </w: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64150" cy="1081405"/>
            <wp:effectExtent l="0" t="0" r="8890" b="635"/>
            <wp:docPr id="3" name="图片 3" descr="L57(HB]55(LN037JCIZ9`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57(HB]55(LN037JCIZ9`MH"/>
                    <pic:cNvPicPr>
                      <a:picLocks noChangeAspect="1"/>
                    </pic:cNvPicPr>
                  </pic:nvPicPr>
                  <pic:blipFill>
                    <a:blip r:embed="rId6"/>
                    <a:stretch>
                      <a:fillRect/>
                    </a:stretch>
                  </pic:blipFill>
                  <pic:spPr>
                    <a:xfrm>
                      <a:off x="0" y="0"/>
                      <a:ext cx="5264150" cy="1081405"/>
                    </a:xfrm>
                    <a:prstGeom prst="rect">
                      <a:avLst/>
                    </a:prstGeom>
                  </pic:spPr>
                </pic:pic>
              </a:graphicData>
            </a:graphic>
          </wp:inline>
        </w:drawing>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以上表格</w:t>
      </w:r>
      <w:r>
        <w:rPr>
          <w:rFonts w:hint="eastAsia" w:ascii="宋体" w:hAnsi="宋体" w:eastAsia="宋体"/>
          <w:sz w:val="24"/>
          <w:szCs w:val="24"/>
          <w:lang w:val="en-US" w:eastAsia="zh-CN"/>
        </w:rPr>
        <w:t>本月</w:t>
      </w:r>
      <w:r>
        <w:rPr>
          <w:rFonts w:hint="eastAsia" w:ascii="宋体" w:hAnsi="宋体" w:eastAsia="宋体"/>
          <w:sz w:val="24"/>
          <w:szCs w:val="24"/>
        </w:rPr>
        <w:t>经过对比后挑选出的基金如下：</w:t>
      </w: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70500" cy="887095"/>
            <wp:effectExtent l="0" t="0" r="2540" b="12065"/>
            <wp:docPr id="4" name="图片 4" descr="B9JXC)P54LS78D@CD6~4D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9JXC)P54LS78D@CD6~4DJG"/>
                    <pic:cNvPicPr>
                      <a:picLocks noChangeAspect="1"/>
                    </pic:cNvPicPr>
                  </pic:nvPicPr>
                  <pic:blipFill>
                    <a:blip r:embed="rId7"/>
                    <a:stretch>
                      <a:fillRect/>
                    </a:stretch>
                  </pic:blipFill>
                  <pic:spPr>
                    <a:xfrm>
                      <a:off x="0" y="0"/>
                      <a:ext cx="5270500" cy="887095"/>
                    </a:xfrm>
                    <a:prstGeom prst="rect">
                      <a:avLst/>
                    </a:prstGeom>
                  </pic:spPr>
                </pic:pic>
              </a:graphicData>
            </a:graphic>
          </wp:inline>
        </w:drawing>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本文数据计划每月更新一次，仅供数据分析使用。</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0"/>
    <w:rsid w:val="0008215B"/>
    <w:rsid w:val="00133513"/>
    <w:rsid w:val="00140D66"/>
    <w:rsid w:val="002874CD"/>
    <w:rsid w:val="002C14EF"/>
    <w:rsid w:val="00304259"/>
    <w:rsid w:val="004A585E"/>
    <w:rsid w:val="004E0B8D"/>
    <w:rsid w:val="00506950"/>
    <w:rsid w:val="00C51F4F"/>
    <w:rsid w:val="00D95469"/>
    <w:rsid w:val="00F01895"/>
    <w:rsid w:val="00FC2C68"/>
    <w:rsid w:val="03061AF4"/>
    <w:rsid w:val="089B4426"/>
    <w:rsid w:val="39080765"/>
    <w:rsid w:val="62FD3991"/>
    <w:rsid w:val="65025C5E"/>
    <w:rsid w:val="7541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329</Words>
  <Characters>1881</Characters>
  <Lines>15</Lines>
  <Paragraphs>4</Paragraphs>
  <TotalTime>3</TotalTime>
  <ScaleCrop>false</ScaleCrop>
  <LinksUpToDate>false</LinksUpToDate>
  <CharactersWithSpaces>2206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2021-01-15T16:01:00Z</dcterms:created>
  <dc:creator>admin</dc:creator>
  <cp:lastModifiedBy>Administrator</cp:lastModifiedBy>
  <dcterms:modified xsi:type="dcterms:W3CDTF">2021-08-29T01:41:34Z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1E4CA6B120434D5BB189B25B9FA52EBE</vt:lpwstr>
  </property>
</Properties>
</file>