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低估定投一定比正常估值定投收益率好吗</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rPr>
      </w:pPr>
    </w:p>
    <w:p>
      <w:pPr>
        <w:jc w:val="left"/>
        <w:rPr>
          <w:rFonts w:hint="eastAsia" w:ascii="仿宋" w:hAnsi="仿宋" w:eastAsia="仿宋"/>
          <w:sz w:val="24"/>
          <w:szCs w:val="24"/>
          <w:lang w:val="en-US" w:eastAsia="zh-CN"/>
        </w:rPr>
      </w:pPr>
      <w:bookmarkStart w:id="0" w:name="OLE_LINK1"/>
      <w:r>
        <w:rPr>
          <w:rFonts w:hint="eastAsia" w:ascii="仿宋" w:hAnsi="仿宋" w:eastAsia="仿宋"/>
          <w:sz w:val="24"/>
          <w:szCs w:val="24"/>
          <w:lang w:val="en-US" w:eastAsia="zh-CN"/>
        </w:rPr>
        <w:t>相信很多读者有这样的困惑，为什么有些指数一直低估一直定投却一直跌，而有些指数一直高估一直不投却一直涨。</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低估定投一定比正常估值定投收益率好吗？</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在解答这个问题之前先看看几个数据。</w:t>
      </w:r>
    </w:p>
    <w:p>
      <w:pPr>
        <w:jc w:val="left"/>
        <w:rPr>
          <w:rFonts w:hint="eastAsia" w:ascii="仿宋" w:hAnsi="仿宋" w:eastAsia="仿宋"/>
          <w:sz w:val="24"/>
          <w:szCs w:val="24"/>
          <w:lang w:val="en-US" w:eastAsia="zh-CN"/>
        </w:rPr>
      </w:pPr>
    </w:p>
    <w:p>
      <w:pPr>
        <w:jc w:val="center"/>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1、消费指数和非银ETF收益率对比图</w:t>
      </w:r>
    </w:p>
    <w:p>
      <w:pPr>
        <w:jc w:val="left"/>
        <w:rPr>
          <w:rFonts w:ascii="仿宋" w:hAnsi="仿宋" w:eastAsia="仿宋"/>
          <w:sz w:val="24"/>
          <w:szCs w:val="24"/>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drawing>
          <wp:inline distT="0" distB="0" distL="114300" distR="114300">
            <wp:extent cx="2545080" cy="2792095"/>
            <wp:effectExtent l="0" t="0" r="0" b="1206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tretch>
                      <a:fillRect/>
                    </a:stretch>
                  </pic:blipFill>
                  <pic:spPr>
                    <a:xfrm>
                      <a:off x="0" y="0"/>
                      <a:ext cx="2545080" cy="2792095"/>
                    </a:xfrm>
                    <a:prstGeom prst="rect">
                      <a:avLst/>
                    </a:prstGeom>
                  </pic:spPr>
                </pic:pic>
              </a:graphicData>
            </a:graphic>
          </wp:inline>
        </w:drawing>
      </w:r>
      <w:r>
        <w:rPr>
          <w:rFonts w:hint="eastAsia" w:ascii="仿宋" w:hAnsi="仿宋" w:eastAsia="仿宋"/>
          <w:sz w:val="24"/>
          <w:szCs w:val="24"/>
          <w:lang w:val="en-US" w:eastAsia="zh-CN"/>
        </w:rPr>
        <w:drawing>
          <wp:inline distT="0" distB="0" distL="114300" distR="114300">
            <wp:extent cx="2026920" cy="2831465"/>
            <wp:effectExtent l="0" t="0" r="0" b="3175"/>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6"/>
                    <a:stretch>
                      <a:fillRect/>
                    </a:stretch>
                  </pic:blipFill>
                  <pic:spPr>
                    <a:xfrm>
                      <a:off x="0" y="0"/>
                      <a:ext cx="2026920" cy="2831465"/>
                    </a:xfrm>
                    <a:prstGeom prst="rect">
                      <a:avLst/>
                    </a:prstGeom>
                  </pic:spPr>
                </pic:pic>
              </a:graphicData>
            </a:graphic>
          </wp:inline>
        </w:drawing>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这是消费ETF和非银ETF的收益率对比图。</w:t>
      </w:r>
    </w:p>
    <w:p>
      <w:pPr>
        <w:jc w:val="left"/>
        <w:rPr>
          <w:rFonts w:hint="eastAsia" w:ascii="仿宋" w:hAnsi="仿宋" w:eastAsia="仿宋"/>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非银ETF是3月份定投的，消费ETF也是三月份定投的，当时非银ETF是低估，而消费ETF并未低估，从两者的收益率对比，消费ETF是优于非银ETF的。</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那么问题来了，低估定投的收益率不一定比正常估值定投的收益率差。</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为什么会产生这种差别呢？</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让我们来看看资产价格的决定因素。</w:t>
      </w:r>
    </w:p>
    <w:p>
      <w:pPr>
        <w:jc w:val="left"/>
        <w:rPr>
          <w:rFonts w:hint="default" w:ascii="仿宋" w:hAnsi="仿宋" w:eastAsia="仿宋"/>
          <w:sz w:val="24"/>
          <w:szCs w:val="24"/>
          <w:lang w:val="en-US" w:eastAsia="zh-CN"/>
        </w:rPr>
      </w:pPr>
    </w:p>
    <w:p>
      <w:pPr>
        <w:jc w:val="center"/>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2、资产价格决定因素</w:t>
      </w:r>
    </w:p>
    <w:p>
      <w:pPr>
        <w:jc w:val="center"/>
        <w:rPr>
          <w:rFonts w:hint="eastAsia" w:ascii="仿宋" w:hAnsi="仿宋" w:eastAsia="仿宋"/>
          <w:b/>
          <w:bCs/>
          <w:color w:val="0000FF"/>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指数是一篮子股票，股票是资产，资产价格本质是由供需决定的，一只股票的基本面，社会的经济面，市场的消息面，高层的政策面都是直接因素，他们影响了股票的供需，从而影响了股票的价格。</w:t>
      </w:r>
    </w:p>
    <w:p>
      <w:pPr>
        <w:jc w:val="left"/>
        <w:rPr>
          <w:rFonts w:hint="eastAsia" w:ascii="仿宋" w:hAnsi="仿宋" w:eastAsia="仿宋"/>
          <w:b/>
          <w:bCs/>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很简单的，控制变量分析，假设股票的基本面不变，社会的经济面不变，市场的消息面不变，高层的政策面不变，那么当机构资金涌入某一只股票的时候，股价就会有上涨趋势。</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而机构资金愿意涌入一只股票是因为这只股票的基本面变好，或者高层有政策支持，让市场投资者对该企业的预期变高，从而导致资金涌入。</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既然低估这个因素并不是决定股价上涨的因素，为什么要在低估买入呢？投资的第一要义是保证本金安全，只要买的指数价格足够低，也就是在低估区域买入，那么投资者的回撤就可控，不会面临巨大回撤心理压力过大从而被迫清仓。</w:t>
      </w:r>
    </w:p>
    <w:p>
      <w:pPr>
        <w:jc w:val="left"/>
        <w:rPr>
          <w:rFonts w:hint="eastAsia" w:ascii="仿宋" w:hAnsi="仿宋" w:eastAsia="仿宋"/>
          <w:b/>
          <w:bCs/>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低估买入是保证投资安全的充分条件，可他是保证</w:t>
      </w:r>
      <w:r>
        <w:rPr>
          <w:rFonts w:hint="eastAsia" w:ascii="仿宋" w:hAnsi="仿宋" w:eastAsia="仿宋"/>
          <w:sz w:val="24"/>
          <w:szCs w:val="24"/>
          <w:lang w:val="en-US" w:eastAsia="zh-CN"/>
        </w:rPr>
        <w:t>投资</w:t>
      </w:r>
      <w:r>
        <w:rPr>
          <w:rFonts w:hint="eastAsia" w:ascii="仿宋" w:hAnsi="仿宋" w:eastAsia="仿宋"/>
          <w:b/>
          <w:bCs/>
          <w:sz w:val="24"/>
          <w:szCs w:val="24"/>
          <w:lang w:val="en-US" w:eastAsia="zh-CN"/>
        </w:rPr>
        <w:t>收益的必要非充分条件。</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如果缺了安全性，投资者错一次就会彻底从市场消失，所以低估定投是必要的，而低估定投并不一定能够保证收益的绝对性。</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要想指数一定能够稳步增长就必须依靠企业的盈利增长。对于一个极度低估却连连盈利增速为负的指数，想要盈利也是很困难的。</w:t>
      </w:r>
    </w:p>
    <w:p>
      <w:pPr>
        <w:jc w:val="left"/>
        <w:rPr>
          <w:rFonts w:hint="default" w:ascii="仿宋" w:hAnsi="仿宋" w:eastAsia="仿宋"/>
          <w:b w:val="0"/>
          <w:bCs w:val="0"/>
          <w:sz w:val="24"/>
          <w:szCs w:val="24"/>
          <w:lang w:val="en-US" w:eastAsia="zh-CN"/>
        </w:rPr>
      </w:pPr>
    </w:p>
    <w:p>
      <w:pPr>
        <w:jc w:val="left"/>
        <w:rPr>
          <w:rFonts w:hint="eastAsia" w:ascii="仿宋" w:hAnsi="仿宋" w:eastAsia="仿宋"/>
          <w:sz w:val="24"/>
          <w:szCs w:val="24"/>
          <w:lang w:val="en-US" w:eastAsia="zh-CN"/>
        </w:rPr>
      </w:pPr>
    </w:p>
    <w:p>
      <w:pPr>
        <w:numPr>
          <w:ilvl w:val="0"/>
          <w:numId w:val="1"/>
        </w:numPr>
        <w:jc w:val="center"/>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企业的盈利才是最重要的</w:t>
      </w:r>
    </w:p>
    <w:p>
      <w:pPr>
        <w:numPr>
          <w:ilvl w:val="0"/>
          <w:numId w:val="0"/>
        </w:numPr>
        <w:jc w:val="both"/>
        <w:rPr>
          <w:rFonts w:hint="default" w:ascii="仿宋" w:hAnsi="仿宋" w:eastAsia="仿宋"/>
          <w:b/>
          <w:bCs/>
          <w:color w:val="0000FF"/>
          <w:sz w:val="24"/>
          <w:szCs w:val="24"/>
          <w:lang w:val="en-US" w:eastAsia="zh-CN"/>
        </w:rPr>
      </w:pPr>
    </w:p>
    <w:p>
      <w:pPr>
        <w:jc w:val="left"/>
        <w:rPr>
          <w:rFonts w:ascii="仿宋" w:hAnsi="仿宋" w:eastAsia="仿宋"/>
          <w:sz w:val="24"/>
          <w:szCs w:val="24"/>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股票投资和房产投资还是有很大区别，房产价格的推动需要接盘侠和资金炒作，而股票背后是企业，只要企业盈利是稳步增长的，那么股票价格和指数点位都是稳步增长的。</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这一点在美国股市，香港股市，中国股市都一样。</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很多人总喜欢说上证综合指数10年不涨，这不是中国股票不涨，而是上证综合指数里面有很多石油石化类股票，这些股票的市值从15年前的高位下跌到现在的低位对冲了上证综合指数里面其他股票的涨幅。</w:t>
      </w:r>
    </w:p>
    <w:p>
      <w:pPr>
        <w:jc w:val="left"/>
        <w:rPr>
          <w:rFonts w:hint="eastAsia" w:ascii="仿宋" w:hAnsi="仿宋" w:eastAsia="仿宋"/>
          <w:b/>
          <w:bCs/>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投资者要学会中庸之道。</w:t>
      </w:r>
    </w:p>
    <w:p>
      <w:pPr>
        <w:jc w:val="left"/>
        <w:rPr>
          <w:rFonts w:hint="eastAsia" w:ascii="仿宋" w:hAnsi="仿宋" w:eastAsia="仿宋"/>
          <w:b w:val="0"/>
          <w:bCs w:val="0"/>
          <w:sz w:val="24"/>
          <w:szCs w:val="24"/>
          <w:lang w:val="en-US" w:eastAsia="zh-CN"/>
        </w:rPr>
      </w:pPr>
    </w:p>
    <w:p>
      <w:p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在估值相对低位和指数盈利增速之间取得一个平衡点，同时结合市场预期选择最优的指数进行定投。只有这样才不至于陷入追求低估或者盈利的极端投资状态。</w:t>
      </w:r>
    </w:p>
    <w:bookmarkEnd w:id="0"/>
    <w:p>
      <w:pPr>
        <w:numPr>
          <w:ilvl w:val="0"/>
          <w:numId w:val="0"/>
        </w:numPr>
        <w:jc w:val="both"/>
        <w:rPr>
          <w:rFonts w:hint="default" w:ascii="仿宋" w:hAnsi="仿宋" w:eastAsia="仿宋"/>
          <w:b/>
          <w:bCs/>
          <w:color w:val="0000FF"/>
          <w:sz w:val="24"/>
          <w:szCs w:val="24"/>
          <w:lang w:val="en-US" w:eastAsia="zh-CN"/>
        </w:rPr>
      </w:pPr>
      <w:bookmarkStart w:id="1" w:name="_GoBack"/>
      <w:bookmarkEnd w:id="1"/>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5926E5"/>
    <w:multiLevelType w:val="singleLevel"/>
    <w:tmpl w:val="F95926E5"/>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A9085D"/>
    <w:rsid w:val="01E3536F"/>
    <w:rsid w:val="02E035C3"/>
    <w:rsid w:val="06DE69FD"/>
    <w:rsid w:val="0A3C44EE"/>
    <w:rsid w:val="127B6F55"/>
    <w:rsid w:val="134A1BDD"/>
    <w:rsid w:val="164E3596"/>
    <w:rsid w:val="1A64140F"/>
    <w:rsid w:val="1BA67309"/>
    <w:rsid w:val="20164FC8"/>
    <w:rsid w:val="23F9384E"/>
    <w:rsid w:val="270026EE"/>
    <w:rsid w:val="2A3C4597"/>
    <w:rsid w:val="2CC44C68"/>
    <w:rsid w:val="2DC87159"/>
    <w:rsid w:val="2EF80A04"/>
    <w:rsid w:val="2FBF5D1A"/>
    <w:rsid w:val="33543E89"/>
    <w:rsid w:val="3412413F"/>
    <w:rsid w:val="3458411A"/>
    <w:rsid w:val="36843669"/>
    <w:rsid w:val="37AE1B1D"/>
    <w:rsid w:val="3AB466C9"/>
    <w:rsid w:val="3ADB16FE"/>
    <w:rsid w:val="3BC6515E"/>
    <w:rsid w:val="44150E5E"/>
    <w:rsid w:val="469756F7"/>
    <w:rsid w:val="4B9D5619"/>
    <w:rsid w:val="4E350092"/>
    <w:rsid w:val="5052324B"/>
    <w:rsid w:val="51FB4D11"/>
    <w:rsid w:val="55957CC2"/>
    <w:rsid w:val="56A600D6"/>
    <w:rsid w:val="5A84158D"/>
    <w:rsid w:val="5D45152F"/>
    <w:rsid w:val="643F206F"/>
    <w:rsid w:val="668031D8"/>
    <w:rsid w:val="6A85719E"/>
    <w:rsid w:val="6B805BBC"/>
    <w:rsid w:val="716B1458"/>
    <w:rsid w:val="71B70063"/>
    <w:rsid w:val="72176A0C"/>
    <w:rsid w:val="746D2EBF"/>
    <w:rsid w:val="7595073B"/>
    <w:rsid w:val="76C66C31"/>
    <w:rsid w:val="7C044BD0"/>
    <w:rsid w:val="7C3E65C6"/>
    <w:rsid w:val="7E0D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32</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2020-04-25T12:13:47Z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