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0466C2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ROE的含义及在指数基金投资过程中的指导意义</w:t>
      </w:r>
    </w:p>
    <w:p w:rsid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A776CB" w:rsidRP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4F746B" w:rsidRPr="00A776CB" w:rsidRDefault="000466C2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ROE是净资产收益率，衡量股票盈利能力的指标，今天一起看看ROE的含义及在指数基金投资过程中的指导意义</w:t>
      </w:r>
      <w:r w:rsidR="00684D4F">
        <w:rPr>
          <w:rFonts w:ascii="仿宋" w:eastAsia="仿宋" w:hAnsi="仿宋" w:hint="eastAsia"/>
          <w:sz w:val="24"/>
          <w:szCs w:val="24"/>
        </w:rPr>
        <w:t>。</w:t>
      </w:r>
    </w:p>
    <w:p w:rsidR="009E5D50" w:rsidRPr="00A703C7" w:rsidRDefault="009E5D50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776CB" w:rsidRPr="00F21081" w:rsidRDefault="00A776CB" w:rsidP="00A776CB">
      <w:pPr>
        <w:spacing w:line="560" w:lineRule="exact"/>
        <w:jc w:val="left"/>
        <w:rPr>
          <w:rFonts w:ascii="仿宋" w:eastAsia="仿宋" w:hAnsi="仿宋"/>
          <w:b/>
          <w:color w:val="4F81BD" w:themeColor="accent1"/>
          <w:sz w:val="24"/>
          <w:szCs w:val="24"/>
        </w:rPr>
      </w:pPr>
      <w:r w:rsidRPr="00F21081">
        <w:rPr>
          <w:rStyle w:val="a7"/>
          <w:rFonts w:hint="eastAsia"/>
          <w:b/>
          <w:color w:val="4F81BD" w:themeColor="accent1"/>
          <w:sz w:val="24"/>
          <w:szCs w:val="24"/>
        </w:rPr>
        <w:t>1</w:t>
      </w:r>
      <w:r w:rsidRPr="00F21081">
        <w:rPr>
          <w:rStyle w:val="a7"/>
          <w:rFonts w:hint="eastAsia"/>
          <w:b/>
          <w:color w:val="4F81BD" w:themeColor="accent1"/>
          <w:sz w:val="24"/>
          <w:szCs w:val="24"/>
        </w:rPr>
        <w:t>、</w:t>
      </w:r>
      <w:r w:rsidR="00F21081" w:rsidRPr="00F21081">
        <w:rPr>
          <w:rFonts w:ascii="仿宋" w:eastAsia="仿宋" w:hAnsi="仿宋" w:hint="eastAsia"/>
          <w:b/>
          <w:color w:val="4F81BD" w:themeColor="accent1"/>
          <w:sz w:val="24"/>
          <w:szCs w:val="24"/>
        </w:rPr>
        <w:t>ROE的概念</w:t>
      </w:r>
    </w:p>
    <w:p w:rsidR="001A5F72" w:rsidRPr="00A776CB" w:rsidRDefault="001A5F72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1A5F72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ROE，即净资产收益率。在所有的估值</w:t>
      </w:r>
      <w:r w:rsidR="00030B7B">
        <w:rPr>
          <w:rFonts w:ascii="仿宋" w:eastAsia="仿宋" w:hAnsi="仿宋" w:hint="eastAsia"/>
          <w:sz w:val="24"/>
          <w:szCs w:val="24"/>
        </w:rPr>
        <w:t>指标——市盈率、</w:t>
      </w:r>
      <w:proofErr w:type="gramStart"/>
      <w:r w:rsidR="00030B7B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030B7B">
        <w:rPr>
          <w:rFonts w:ascii="仿宋" w:eastAsia="仿宋" w:hAnsi="仿宋" w:hint="eastAsia"/>
          <w:sz w:val="24"/>
          <w:szCs w:val="24"/>
        </w:rPr>
        <w:t>、股息率、市销率、</w:t>
      </w:r>
      <w:r>
        <w:rPr>
          <w:rFonts w:ascii="仿宋" w:eastAsia="仿宋" w:hAnsi="仿宋" w:hint="eastAsia"/>
          <w:sz w:val="24"/>
          <w:szCs w:val="24"/>
        </w:rPr>
        <w:t>PEG</w:t>
      </w:r>
      <w:r w:rsidR="00030B7B">
        <w:rPr>
          <w:rFonts w:ascii="仿宋" w:eastAsia="仿宋" w:hAnsi="仿宋" w:hint="eastAsia"/>
          <w:sz w:val="24"/>
          <w:szCs w:val="24"/>
        </w:rPr>
        <w:t>、净资产收益率</w:t>
      </w:r>
      <w:r>
        <w:rPr>
          <w:rFonts w:ascii="仿宋" w:eastAsia="仿宋" w:hAnsi="仿宋" w:hint="eastAsia"/>
          <w:sz w:val="24"/>
          <w:szCs w:val="24"/>
        </w:rPr>
        <w:t>等估值指标里面，这个指标是最为重要的估值指标。</w:t>
      </w: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企业的ROE=PB/PE==（P/B）/(P/E)=E/B。PB</w:t>
      </w:r>
      <w:proofErr w:type="gramStart"/>
      <w:r>
        <w:rPr>
          <w:rFonts w:ascii="仿宋" w:eastAsia="仿宋" w:hAnsi="仿宋" w:hint="eastAsia"/>
          <w:sz w:val="24"/>
          <w:szCs w:val="24"/>
        </w:rPr>
        <w:t>代表市净率</w:t>
      </w:r>
      <w:proofErr w:type="gramEnd"/>
      <w:r>
        <w:rPr>
          <w:rFonts w:ascii="仿宋" w:eastAsia="仿宋" w:hAnsi="仿宋" w:hint="eastAsia"/>
          <w:sz w:val="24"/>
          <w:szCs w:val="24"/>
        </w:rPr>
        <w:t>，PE代表市盈率。经过计算化简我们得出净资产收益率ROE=E/B.</w:t>
      </w: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这个公式里面E代表Earing，挣钱的意思，在这里表示企业的净利润，B代表Book Value，账面价值，在这里代表企业的净资产。</w:t>
      </w: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21081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从公式直观上我们可以看到，ROE表示单位净资产下一个企业的净利润。如果ROE越高</w:t>
      </w:r>
      <w:r w:rsidR="001925A0">
        <w:rPr>
          <w:rFonts w:ascii="仿宋" w:eastAsia="仿宋" w:hAnsi="仿宋" w:hint="eastAsia"/>
          <w:sz w:val="24"/>
          <w:szCs w:val="24"/>
        </w:rPr>
        <w:t>，那就说明企业的经营盈利状况越好。</w:t>
      </w:r>
      <w:r w:rsidR="00D73905">
        <w:rPr>
          <w:rFonts w:ascii="仿宋" w:eastAsia="仿宋" w:hAnsi="仿宋" w:hint="eastAsia"/>
          <w:sz w:val="24"/>
          <w:szCs w:val="24"/>
        </w:rPr>
        <w:t>如果一家公司的现金</w:t>
      </w:r>
      <w:proofErr w:type="gramStart"/>
      <w:r w:rsidR="00D73905">
        <w:rPr>
          <w:rFonts w:ascii="仿宋" w:eastAsia="仿宋" w:hAnsi="仿宋" w:hint="eastAsia"/>
          <w:sz w:val="24"/>
          <w:szCs w:val="24"/>
        </w:rPr>
        <w:t>流稳定</w:t>
      </w:r>
      <w:proofErr w:type="gramEnd"/>
      <w:r w:rsidR="00D73905">
        <w:rPr>
          <w:rFonts w:ascii="仿宋" w:eastAsia="仿宋" w:hAnsi="仿宋" w:hint="eastAsia"/>
          <w:sz w:val="24"/>
          <w:szCs w:val="24"/>
        </w:rPr>
        <w:t>并且金额充足，那么ROE越高，企业越具有投资价值。</w:t>
      </w:r>
    </w:p>
    <w:p w:rsidR="00F21081" w:rsidRPr="00A776CB" w:rsidRDefault="00F21081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776CB" w:rsidRPr="00134938" w:rsidRDefault="00A776CB" w:rsidP="00A776CB">
      <w:pPr>
        <w:spacing w:line="560" w:lineRule="exact"/>
        <w:jc w:val="left"/>
        <w:rPr>
          <w:rFonts w:ascii="仿宋" w:eastAsia="仿宋" w:hAnsi="仿宋"/>
          <w:b/>
          <w:color w:val="4F81BD" w:themeColor="accent1"/>
          <w:sz w:val="24"/>
          <w:szCs w:val="24"/>
        </w:rPr>
      </w:pPr>
      <w:r w:rsidRPr="001925A0">
        <w:rPr>
          <w:rStyle w:val="a7"/>
          <w:rFonts w:hint="eastAsia"/>
          <w:b/>
          <w:color w:val="4F81BD" w:themeColor="accent1"/>
          <w:sz w:val="24"/>
          <w:szCs w:val="24"/>
        </w:rPr>
        <w:t>2</w:t>
      </w:r>
      <w:r w:rsidRPr="001925A0">
        <w:rPr>
          <w:rStyle w:val="a7"/>
          <w:rFonts w:hint="eastAsia"/>
          <w:b/>
          <w:color w:val="4F81BD" w:themeColor="accent1"/>
          <w:sz w:val="24"/>
          <w:szCs w:val="24"/>
        </w:rPr>
        <w:t>、</w:t>
      </w:r>
      <w:r w:rsidR="00D73905">
        <w:rPr>
          <w:rFonts w:ascii="仿宋" w:eastAsia="仿宋" w:hAnsi="仿宋" w:hint="eastAsia"/>
          <w:b/>
          <w:iCs/>
          <w:color w:val="4F81BD" w:themeColor="accent1"/>
          <w:sz w:val="24"/>
          <w:szCs w:val="24"/>
        </w:rPr>
        <w:t>ROE在指数投资过程中的指导意义</w:t>
      </w:r>
    </w:p>
    <w:p w:rsidR="00134938" w:rsidRDefault="00134938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134938" w:rsidRDefault="00134938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对于盈利稳定的指数基金品种，当ROE处于10%到30%之间是合理的范围区间，在这个区间内，净资产收益率越高的指数盈利能力越好，</w:t>
      </w:r>
      <w:r w:rsidR="003558AD">
        <w:rPr>
          <w:rFonts w:ascii="仿宋" w:eastAsia="仿宋" w:hAnsi="仿宋" w:hint="eastAsia"/>
          <w:sz w:val="24"/>
          <w:szCs w:val="24"/>
        </w:rPr>
        <w:t>是我们需要重点关注的</w:t>
      </w:r>
      <w:r w:rsidR="003558AD">
        <w:rPr>
          <w:rFonts w:ascii="仿宋" w:eastAsia="仿宋" w:hAnsi="仿宋" w:hint="eastAsia"/>
          <w:sz w:val="24"/>
          <w:szCs w:val="24"/>
        </w:rPr>
        <w:lastRenderedPageBreak/>
        <w:t>投资品种。</w:t>
      </w:r>
    </w:p>
    <w:p w:rsidR="00030902" w:rsidRDefault="00030902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3558AD" w:rsidRDefault="003558AD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我们可以看到估值表里面的消费指数和白酒指数的ROE</w:t>
      </w:r>
      <w:r w:rsidR="00546CD3">
        <w:rPr>
          <w:rFonts w:ascii="仿宋" w:eastAsia="仿宋" w:hAnsi="仿宋" w:hint="eastAsia"/>
          <w:sz w:val="24"/>
          <w:szCs w:val="24"/>
        </w:rPr>
        <w:t>是相对较高的</w:t>
      </w:r>
      <w:r>
        <w:rPr>
          <w:rFonts w:ascii="仿宋" w:eastAsia="仿宋" w:hAnsi="仿宋" w:hint="eastAsia"/>
          <w:sz w:val="24"/>
          <w:szCs w:val="24"/>
        </w:rPr>
        <w:t>。这就代表指数持仓股票背后的企业经营状况良好，</w:t>
      </w:r>
      <w:r w:rsidR="00482BE7">
        <w:rPr>
          <w:rFonts w:ascii="仿宋" w:eastAsia="仿宋" w:hAnsi="仿宋" w:hint="eastAsia"/>
          <w:sz w:val="24"/>
          <w:szCs w:val="24"/>
        </w:rPr>
        <w:t>有更加可观的利润</w:t>
      </w:r>
      <w:r w:rsidR="00546CD3">
        <w:rPr>
          <w:rFonts w:ascii="仿宋" w:eastAsia="仿宋" w:hAnsi="仿宋" w:hint="eastAsia"/>
          <w:sz w:val="24"/>
          <w:szCs w:val="24"/>
        </w:rPr>
        <w:t>。这种指数就更加具有投资价值，纳斯达克指数就有这样的特征。</w:t>
      </w:r>
    </w:p>
    <w:p w:rsidR="00546CD3" w:rsidRPr="00482BE7" w:rsidRDefault="00546CD3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3558AD" w:rsidRDefault="003558AD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从巴菲特的估值理念来看，企业的价值是自由现金</w:t>
      </w:r>
      <w:proofErr w:type="gramStart"/>
      <w:r>
        <w:rPr>
          <w:rFonts w:ascii="仿宋" w:eastAsia="仿宋" w:hAnsi="仿宋" w:hint="eastAsia"/>
          <w:sz w:val="24"/>
          <w:szCs w:val="24"/>
        </w:rPr>
        <w:t>流未来</w:t>
      </w:r>
      <w:proofErr w:type="gramEnd"/>
      <w:r>
        <w:rPr>
          <w:rFonts w:ascii="仿宋" w:eastAsia="仿宋" w:hAnsi="仿宋" w:hint="eastAsia"/>
          <w:sz w:val="24"/>
          <w:szCs w:val="24"/>
        </w:rPr>
        <w:t>的折现值，也就是说当前公司的自由现金流在未来能够为企业带来多少利润。衡量这个利润多少的指标完全可以参考ROE。</w:t>
      </w:r>
    </w:p>
    <w:p w:rsidR="003558AD" w:rsidRDefault="003558AD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030902" w:rsidRDefault="003558AD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那么是不是ROE越高越好呢？是不是ROE</w:t>
      </w:r>
      <w:r w:rsidR="00546CD3">
        <w:rPr>
          <w:rFonts w:ascii="仿宋" w:eastAsia="仿宋" w:hAnsi="仿宋" w:hint="eastAsia"/>
          <w:sz w:val="24"/>
          <w:szCs w:val="24"/>
        </w:rPr>
        <w:t>的数值太低指数基金就没有投资价值呢？</w:t>
      </w:r>
    </w:p>
    <w:p w:rsidR="00546CD3" w:rsidRPr="00A776CB" w:rsidRDefault="00546CD3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9362F6" w:rsidRDefault="009362F6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在合理区间内，ROE的数值越高代表企业的盈利状况越好，越有投资价值。</w:t>
      </w:r>
    </w:p>
    <w:p w:rsidR="009362F6" w:rsidRDefault="009362F6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9362F6" w:rsidRDefault="00546CD3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可是大家看我们估值表里面的券商指数。他的净资产收益率低于10%</w:t>
      </w:r>
      <w:r w:rsidR="009362F6">
        <w:rPr>
          <w:rFonts w:ascii="仿宋" w:eastAsia="仿宋" w:hAnsi="仿宋" w:hint="eastAsia"/>
          <w:sz w:val="24"/>
          <w:szCs w:val="24"/>
        </w:rPr>
        <w:t>，按照我们的说法，净资产收益率越低投资价值就越低。</w:t>
      </w:r>
      <w:r w:rsidR="004B3C01">
        <w:rPr>
          <w:rFonts w:ascii="仿宋" w:eastAsia="仿宋" w:hAnsi="仿宋" w:hint="eastAsia"/>
          <w:sz w:val="24"/>
          <w:szCs w:val="24"/>
        </w:rPr>
        <w:t>那</w:t>
      </w:r>
      <w:r w:rsidR="009362F6">
        <w:rPr>
          <w:rFonts w:ascii="仿宋" w:eastAsia="仿宋" w:hAnsi="仿宋" w:hint="eastAsia"/>
          <w:sz w:val="24"/>
          <w:szCs w:val="24"/>
        </w:rPr>
        <w:t>为啥二师父还要选择这个指数来进行投资。</w:t>
      </w:r>
    </w:p>
    <w:p w:rsidR="009362F6" w:rsidRDefault="009362F6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9362F6" w:rsidRDefault="009362F6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证券指数持仓股票是各大证券公司，证券公司的盈利状况和股市的牛熊关系密切，因此他们是典型的周期指数，对于这类指数而言，当他们处于周期性行业</w:t>
      </w:r>
      <w:r w:rsidR="00082A03">
        <w:rPr>
          <w:rFonts w:ascii="仿宋" w:eastAsia="仿宋" w:hAnsi="仿宋" w:hint="eastAsia"/>
          <w:sz w:val="24"/>
          <w:szCs w:val="24"/>
        </w:rPr>
        <w:t>低谷</w:t>
      </w:r>
      <w:r>
        <w:rPr>
          <w:rFonts w:ascii="仿宋" w:eastAsia="仿宋" w:hAnsi="仿宋" w:hint="eastAsia"/>
          <w:sz w:val="24"/>
          <w:szCs w:val="24"/>
        </w:rPr>
        <w:t>，必然盈利下降，估值较低，这个时候就不能够再固守ROE策略了。要知道，当行业转暖，牛市来临</w:t>
      </w:r>
      <w:r w:rsidR="00082A03">
        <w:rPr>
          <w:rFonts w:ascii="仿宋" w:eastAsia="仿宋" w:hAnsi="仿宋" w:hint="eastAsia"/>
          <w:sz w:val="24"/>
          <w:szCs w:val="24"/>
        </w:rPr>
        <w:t>的时候</w:t>
      </w:r>
      <w:r>
        <w:rPr>
          <w:rFonts w:ascii="仿宋" w:eastAsia="仿宋" w:hAnsi="仿宋" w:hint="eastAsia"/>
          <w:sz w:val="24"/>
          <w:szCs w:val="24"/>
        </w:rPr>
        <w:t>，</w:t>
      </w:r>
      <w:r w:rsidR="00BF347A">
        <w:rPr>
          <w:rFonts w:ascii="仿宋" w:eastAsia="仿宋" w:hAnsi="仿宋" w:hint="eastAsia"/>
          <w:sz w:val="24"/>
          <w:szCs w:val="24"/>
        </w:rPr>
        <w:t>证券公司的营收和利润就会大幅度增加</w:t>
      </w:r>
      <w:r>
        <w:rPr>
          <w:rFonts w:ascii="仿宋" w:eastAsia="仿宋" w:hAnsi="仿宋" w:hint="eastAsia"/>
          <w:sz w:val="24"/>
          <w:szCs w:val="24"/>
        </w:rPr>
        <w:t>，让我们购买的</w:t>
      </w:r>
      <w:proofErr w:type="gramStart"/>
      <w:r w:rsidR="00082A03">
        <w:rPr>
          <w:rFonts w:ascii="仿宋" w:eastAsia="仿宋" w:hAnsi="仿宋" w:hint="eastAsia"/>
          <w:sz w:val="24"/>
          <w:szCs w:val="24"/>
        </w:rPr>
        <w:t>券商</w:t>
      </w:r>
      <w:r w:rsidR="00B32A6F">
        <w:rPr>
          <w:rFonts w:ascii="仿宋" w:eastAsia="仿宋" w:hAnsi="仿宋" w:hint="eastAsia"/>
          <w:sz w:val="24"/>
          <w:szCs w:val="24"/>
        </w:rPr>
        <w:t>指数</w:t>
      </w:r>
      <w:proofErr w:type="gramEnd"/>
      <w:r w:rsidR="00B32A6F">
        <w:rPr>
          <w:rFonts w:ascii="仿宋" w:eastAsia="仿宋" w:hAnsi="仿宋" w:hint="eastAsia"/>
          <w:sz w:val="24"/>
          <w:szCs w:val="24"/>
        </w:rPr>
        <w:t>出现大幅度的增长。</w:t>
      </w:r>
    </w:p>
    <w:p w:rsidR="00B32A6F" w:rsidRDefault="00B32A6F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B32A6F" w:rsidRDefault="00B32A6F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对处于周期性行业高峰的指数，他们的ROE通常会异常高，甚至超过30个百分点，这个时候就要警惕指数的投资价值</w:t>
      </w:r>
      <w:r w:rsidR="00082A03">
        <w:rPr>
          <w:rFonts w:ascii="仿宋" w:eastAsia="仿宋" w:hAnsi="仿宋" w:hint="eastAsia"/>
          <w:sz w:val="24"/>
          <w:szCs w:val="24"/>
        </w:rPr>
        <w:t>，周期性行业高峰指数的估值和盈利都很高，如果这时候介入投资，当行业进入衰退周期，那么指数也会一落千丈，比如常见的钢铁，煤炭，军工行业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32A6F" w:rsidRDefault="00B32A6F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082A03" w:rsidRDefault="00B32A6F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总之，不能够完全因为</w:t>
      </w:r>
      <w:r w:rsidR="00082A03">
        <w:rPr>
          <w:rFonts w:ascii="仿宋" w:eastAsia="仿宋" w:hAnsi="仿宋" w:hint="eastAsia"/>
          <w:sz w:val="24"/>
          <w:szCs w:val="24"/>
        </w:rPr>
        <w:t>低</w:t>
      </w:r>
      <w:r>
        <w:rPr>
          <w:rFonts w:ascii="仿宋" w:eastAsia="仿宋" w:hAnsi="仿宋" w:hint="eastAsia"/>
          <w:sz w:val="24"/>
          <w:szCs w:val="24"/>
        </w:rPr>
        <w:t>ROE就放弃买入，也不能够因为ROE很高就认为是最有价值的，一定要</w:t>
      </w:r>
      <w:r w:rsidR="00082A03">
        <w:rPr>
          <w:rFonts w:ascii="仿宋" w:eastAsia="仿宋" w:hAnsi="仿宋" w:hint="eastAsia"/>
          <w:sz w:val="24"/>
          <w:szCs w:val="24"/>
        </w:rPr>
        <w:t>综合估值指标</w:t>
      </w:r>
      <w:r>
        <w:rPr>
          <w:rFonts w:ascii="仿宋" w:eastAsia="仿宋" w:hAnsi="仿宋" w:hint="eastAsia"/>
          <w:sz w:val="24"/>
          <w:szCs w:val="24"/>
        </w:rPr>
        <w:t>全面</w:t>
      </w:r>
      <w:r w:rsidR="00082A03">
        <w:rPr>
          <w:rFonts w:ascii="仿宋" w:eastAsia="仿宋" w:hAnsi="仿宋" w:hint="eastAsia"/>
          <w:sz w:val="24"/>
          <w:szCs w:val="24"/>
        </w:rPr>
        <w:t>分析。</w:t>
      </w:r>
    </w:p>
    <w:p w:rsidR="00082A03" w:rsidRDefault="00082A03" w:rsidP="009362F6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BF347A" w:rsidRPr="00134938" w:rsidRDefault="00BF347A" w:rsidP="00BF347A">
      <w:pPr>
        <w:spacing w:line="560" w:lineRule="exact"/>
        <w:jc w:val="left"/>
        <w:rPr>
          <w:rFonts w:ascii="仿宋" w:eastAsia="仿宋" w:hAnsi="仿宋"/>
          <w:b/>
          <w:color w:val="4F81BD" w:themeColor="accent1"/>
          <w:sz w:val="24"/>
          <w:szCs w:val="24"/>
        </w:rPr>
      </w:pPr>
      <w:r>
        <w:rPr>
          <w:rStyle w:val="a7"/>
          <w:rFonts w:hint="eastAsia"/>
          <w:b/>
          <w:color w:val="4F81BD" w:themeColor="accent1"/>
          <w:sz w:val="24"/>
          <w:szCs w:val="24"/>
        </w:rPr>
        <w:t>3</w:t>
      </w:r>
      <w:r w:rsidRPr="001925A0">
        <w:rPr>
          <w:rStyle w:val="a7"/>
          <w:rFonts w:hint="eastAsia"/>
          <w:b/>
          <w:color w:val="4F81BD" w:themeColor="accent1"/>
          <w:sz w:val="24"/>
          <w:szCs w:val="24"/>
        </w:rPr>
        <w:t>、</w:t>
      </w:r>
      <w:r>
        <w:rPr>
          <w:rFonts w:ascii="仿宋" w:eastAsia="仿宋" w:hAnsi="仿宋" w:hint="eastAsia"/>
          <w:b/>
          <w:iCs/>
          <w:color w:val="4F81BD" w:themeColor="accent1"/>
          <w:sz w:val="24"/>
          <w:szCs w:val="24"/>
        </w:rPr>
        <w:t>投资过程中不要陷入低价格或者低市盈率陷阱</w:t>
      </w:r>
    </w:p>
    <w:p w:rsidR="00771709" w:rsidRDefault="00771709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BF347A" w:rsidRDefault="00A21ECF" w:rsidP="00BF347A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如果投资者在指数投资的时候一味地选择低市盈率或者低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的指数进行投资，往往容易</w:t>
      </w:r>
      <w:proofErr w:type="gramStart"/>
      <w:r>
        <w:rPr>
          <w:rFonts w:ascii="仿宋" w:eastAsia="仿宋" w:hAnsi="仿宋" w:hint="eastAsia"/>
          <w:sz w:val="24"/>
          <w:szCs w:val="24"/>
        </w:rPr>
        <w:t>陷入低</w:t>
      </w:r>
      <w:proofErr w:type="gramEnd"/>
      <w:r>
        <w:rPr>
          <w:rFonts w:ascii="仿宋" w:eastAsia="仿宋" w:hAnsi="仿宋" w:hint="eastAsia"/>
          <w:sz w:val="24"/>
          <w:szCs w:val="24"/>
        </w:rPr>
        <w:t>市盈率或者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市净率陷阱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A21ECF" w:rsidRDefault="00A21ECF" w:rsidP="00BF347A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A21ECF" w:rsidRDefault="00A21ECF" w:rsidP="00BF347A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这还是一种投机思维，真正的投资是买企业的成长性，购买盈利稳定可持续的优质企业和企业一起成长，未来如果A股</w:t>
      </w:r>
      <w:r w:rsidR="00027C7C">
        <w:rPr>
          <w:rFonts w:ascii="仿宋" w:eastAsia="仿宋" w:hAnsi="仿宋" w:hint="eastAsia"/>
          <w:sz w:val="24"/>
          <w:szCs w:val="24"/>
        </w:rPr>
        <w:t>市场成为慢牛市场，投机不再盛行，那么投资者购买优质企业和时间一起成长就显得尤为重要。</w:t>
      </w:r>
    </w:p>
    <w:p w:rsidR="00027C7C" w:rsidRDefault="00027C7C" w:rsidP="00BF347A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BF347A" w:rsidRPr="00BF347A" w:rsidRDefault="00BF347A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BF347A" w:rsidRPr="00BF34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F3" w:rsidRDefault="00DE19F3" w:rsidP="00C62AFF">
      <w:r>
        <w:separator/>
      </w:r>
    </w:p>
  </w:endnote>
  <w:endnote w:type="continuationSeparator" w:id="0">
    <w:p w:rsidR="00DE19F3" w:rsidRDefault="00DE19F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F3" w:rsidRDefault="00DE19F3" w:rsidP="00C62AFF">
      <w:r>
        <w:separator/>
      </w:r>
    </w:p>
  </w:footnote>
  <w:footnote w:type="continuationSeparator" w:id="0">
    <w:p w:rsidR="00DE19F3" w:rsidRDefault="00DE19F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27C7C"/>
    <w:rsid w:val="00030902"/>
    <w:rsid w:val="00030B7B"/>
    <w:rsid w:val="00034DAF"/>
    <w:rsid w:val="0004346B"/>
    <w:rsid w:val="000466C2"/>
    <w:rsid w:val="00074ACE"/>
    <w:rsid w:val="000827A2"/>
    <w:rsid w:val="00082A03"/>
    <w:rsid w:val="00083523"/>
    <w:rsid w:val="000A5EAE"/>
    <w:rsid w:val="000B6B41"/>
    <w:rsid w:val="000C0140"/>
    <w:rsid w:val="000C76DA"/>
    <w:rsid w:val="000E0F9B"/>
    <w:rsid w:val="000F758E"/>
    <w:rsid w:val="00117A06"/>
    <w:rsid w:val="0012478C"/>
    <w:rsid w:val="001338FA"/>
    <w:rsid w:val="00134938"/>
    <w:rsid w:val="00180718"/>
    <w:rsid w:val="001839A2"/>
    <w:rsid w:val="001925A0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58AD"/>
    <w:rsid w:val="00357DBF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63680"/>
    <w:rsid w:val="00476508"/>
    <w:rsid w:val="0048077E"/>
    <w:rsid w:val="00482BE7"/>
    <w:rsid w:val="00493A6F"/>
    <w:rsid w:val="004B150F"/>
    <w:rsid w:val="004B1D38"/>
    <w:rsid w:val="004B3C01"/>
    <w:rsid w:val="004C7FEE"/>
    <w:rsid w:val="004E3F89"/>
    <w:rsid w:val="004F42A0"/>
    <w:rsid w:val="004F587D"/>
    <w:rsid w:val="004F746B"/>
    <w:rsid w:val="00517923"/>
    <w:rsid w:val="00540C7E"/>
    <w:rsid w:val="00546CD3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342EB"/>
    <w:rsid w:val="006748DB"/>
    <w:rsid w:val="00674EE2"/>
    <w:rsid w:val="00682517"/>
    <w:rsid w:val="00684D4F"/>
    <w:rsid w:val="0068775A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802934"/>
    <w:rsid w:val="00803A97"/>
    <w:rsid w:val="0081069F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1669B"/>
    <w:rsid w:val="00926596"/>
    <w:rsid w:val="009362F6"/>
    <w:rsid w:val="00944B91"/>
    <w:rsid w:val="0094678E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1ECF"/>
    <w:rsid w:val="00A22417"/>
    <w:rsid w:val="00A2465A"/>
    <w:rsid w:val="00A703C7"/>
    <w:rsid w:val="00A729DD"/>
    <w:rsid w:val="00A776CB"/>
    <w:rsid w:val="00A81072"/>
    <w:rsid w:val="00A86519"/>
    <w:rsid w:val="00AB02BC"/>
    <w:rsid w:val="00AC7220"/>
    <w:rsid w:val="00AE2DAE"/>
    <w:rsid w:val="00AE3E87"/>
    <w:rsid w:val="00B24A46"/>
    <w:rsid w:val="00B266CF"/>
    <w:rsid w:val="00B32A6F"/>
    <w:rsid w:val="00B3305C"/>
    <w:rsid w:val="00B60F17"/>
    <w:rsid w:val="00B730D5"/>
    <w:rsid w:val="00B8436F"/>
    <w:rsid w:val="00BA0F0A"/>
    <w:rsid w:val="00BA1964"/>
    <w:rsid w:val="00BA57A9"/>
    <w:rsid w:val="00BA6DC0"/>
    <w:rsid w:val="00BC3194"/>
    <w:rsid w:val="00BD7D29"/>
    <w:rsid w:val="00BE7A81"/>
    <w:rsid w:val="00BF347A"/>
    <w:rsid w:val="00C1208B"/>
    <w:rsid w:val="00C1521C"/>
    <w:rsid w:val="00C15E6B"/>
    <w:rsid w:val="00C244E6"/>
    <w:rsid w:val="00C43716"/>
    <w:rsid w:val="00C62AFF"/>
    <w:rsid w:val="00C761B5"/>
    <w:rsid w:val="00CA4061"/>
    <w:rsid w:val="00CA499A"/>
    <w:rsid w:val="00CB79AD"/>
    <w:rsid w:val="00CC0B9F"/>
    <w:rsid w:val="00CC47CB"/>
    <w:rsid w:val="00CD7100"/>
    <w:rsid w:val="00CE0048"/>
    <w:rsid w:val="00CE3164"/>
    <w:rsid w:val="00D05438"/>
    <w:rsid w:val="00D3059D"/>
    <w:rsid w:val="00D73905"/>
    <w:rsid w:val="00D87915"/>
    <w:rsid w:val="00DB02DD"/>
    <w:rsid w:val="00DB3A4D"/>
    <w:rsid w:val="00DD205C"/>
    <w:rsid w:val="00DD7D01"/>
    <w:rsid w:val="00DE19F3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1081"/>
    <w:rsid w:val="00F23C43"/>
    <w:rsid w:val="00F625B8"/>
    <w:rsid w:val="00F636FC"/>
    <w:rsid w:val="00F832B5"/>
    <w:rsid w:val="00F90EA8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0631B-C336-465B-8A7D-DDF14EC8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315</cp:revision>
  <cp:lastPrinted>2018-07-30T17:47:00Z</cp:lastPrinted>
  <dcterms:created xsi:type="dcterms:W3CDTF">2018-01-24T13:47:00Z</dcterms:created>
  <dcterms:modified xsi:type="dcterms:W3CDTF">2020-01-12T11:12:00Z</dcterms:modified>
</cp:coreProperties>
</file>