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58" w:rsidRPr="007004E1" w:rsidRDefault="007004E1">
      <w:pPr>
        <w:rPr>
          <w:b/>
          <w:sz w:val="28"/>
          <w:szCs w:val="28"/>
        </w:rPr>
      </w:pPr>
      <w:r w:rsidRPr="007004E1">
        <w:rPr>
          <w:b/>
          <w:sz w:val="28"/>
          <w:szCs w:val="28"/>
        </w:rPr>
        <w:t>国内市场</w:t>
      </w:r>
    </w:p>
    <w:tbl>
      <w:tblPr>
        <w:tblW w:w="7232" w:type="dxa"/>
        <w:tblInd w:w="96" w:type="dxa"/>
        <w:tblLook w:val="04A0"/>
      </w:tblPr>
      <w:tblGrid>
        <w:gridCol w:w="1288"/>
        <w:gridCol w:w="986"/>
        <w:gridCol w:w="1100"/>
        <w:gridCol w:w="1120"/>
        <w:gridCol w:w="960"/>
        <w:gridCol w:w="960"/>
        <w:gridCol w:w="986"/>
      </w:tblGrid>
      <w:tr w:rsidR="00B70C57" w:rsidRPr="00B70C57" w:rsidTr="00B70C57">
        <w:trPr>
          <w:trHeight w:val="28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月涨跌幅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上证综指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2676.48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-5.13%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-19.07%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深证成指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7867.54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17.3487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-6.35%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-28.74%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上证50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2542.77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9.6822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1.1944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-2.45%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-11.11%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中证100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3515.67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10.3559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-3.44%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-13.86%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沪深300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3290.25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-4.32%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-18.37%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中证500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4437.95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18.7239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-7.56%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-29.00%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中证1000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4564.18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-8.48%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-34.96%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创业板指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1348.28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30.0869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-4.47%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-23.07%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深次新股</w:t>
            </w:r>
            <w:proofErr w:type="gramEnd"/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33.0679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-2.96%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-33.25%</w:t>
            </w:r>
          </w:p>
        </w:tc>
      </w:tr>
      <w:tr w:rsidR="00B70C57" w:rsidRPr="00B70C57" w:rsidTr="00B70C57">
        <w:trPr>
          <w:trHeight w:val="288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国证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A指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3653.49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13.6137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-5.70%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-23.52%</w:t>
            </w:r>
          </w:p>
        </w:tc>
      </w:tr>
    </w:tbl>
    <w:p w:rsidR="007004E1" w:rsidRDefault="007004E1"/>
    <w:p w:rsidR="007004E1" w:rsidRPr="007004E1" w:rsidRDefault="007004E1">
      <w:pPr>
        <w:rPr>
          <w:b/>
          <w:sz w:val="28"/>
          <w:szCs w:val="28"/>
        </w:rPr>
      </w:pPr>
      <w:r w:rsidRPr="007004E1">
        <w:rPr>
          <w:rFonts w:hint="eastAsia"/>
          <w:b/>
          <w:sz w:val="28"/>
          <w:szCs w:val="28"/>
        </w:rPr>
        <w:t>全球市场</w:t>
      </w:r>
    </w:p>
    <w:tbl>
      <w:tblPr>
        <w:tblW w:w="7868" w:type="dxa"/>
        <w:tblInd w:w="96" w:type="dxa"/>
        <w:tblLook w:val="04A0"/>
      </w:tblPr>
      <w:tblGrid>
        <w:gridCol w:w="1997"/>
        <w:gridCol w:w="1096"/>
        <w:gridCol w:w="986"/>
        <w:gridCol w:w="960"/>
        <w:gridCol w:w="960"/>
        <w:gridCol w:w="960"/>
        <w:gridCol w:w="986"/>
      </w:tblGrid>
      <w:tr w:rsidR="00B70C57" w:rsidRPr="00B70C57" w:rsidTr="00B70C57">
        <w:trPr>
          <w:trHeight w:val="288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月涨跌幅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标普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2723.06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21.3098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-5.63%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1.85%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纳斯达克指数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7356.99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40.6712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-5.54%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6.57%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中国互联网50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7731.95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-1.76%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-19.47%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恒生指数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26486.35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-11.47%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恒生中国企业指数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10687.77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1.33%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-8.72%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德国DAX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11518.99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-4.90%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-10.83%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法国CAC40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5102.13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-4.80%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-3.96%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富时100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7094.12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15.5485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-3.07%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-7.72%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俄罗斯RTS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1134.8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5.8209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-2.12%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-1.70%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日经225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22243.66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-7.22%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-2.29%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韩国综合指数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-7.85%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-15.06%</w:t>
            </w:r>
          </w:p>
        </w:tc>
      </w:tr>
      <w:tr w:rsidR="00B70C57" w:rsidRPr="00B70C57" w:rsidTr="00B70C57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孟买SENSEX30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35033.63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-0.39%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2.87%</w:t>
            </w:r>
          </w:p>
        </w:tc>
      </w:tr>
    </w:tbl>
    <w:p w:rsidR="007004E1" w:rsidRDefault="007004E1"/>
    <w:p w:rsidR="003F4F39" w:rsidRDefault="003F4F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国内行业</w:t>
      </w:r>
    </w:p>
    <w:tbl>
      <w:tblPr>
        <w:tblW w:w="6944" w:type="dxa"/>
        <w:tblInd w:w="96" w:type="dxa"/>
        <w:tblLook w:val="04A0"/>
      </w:tblPr>
      <w:tblGrid>
        <w:gridCol w:w="1146"/>
        <w:gridCol w:w="986"/>
        <w:gridCol w:w="986"/>
        <w:gridCol w:w="960"/>
        <w:gridCol w:w="960"/>
        <w:gridCol w:w="986"/>
        <w:gridCol w:w="986"/>
      </w:tblGrid>
      <w:tr w:rsidR="00B70C57" w:rsidRPr="00B70C57" w:rsidTr="00B70C57">
        <w:trPr>
          <w:trHeight w:val="28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月涨跌幅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中证医药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8868.64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25.6532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7.47%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-8.55%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-14.71%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中证TMT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1414.27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26.8511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-6.44%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-29.25%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中证传媒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1160.33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6.59%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-4.34%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-32.76%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证券公司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6.87%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-19.87%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养老产业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6521.11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-6.17%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-23.65%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中证环保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18.5828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-7.71%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-37.44%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中证有色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982.64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-6.90%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-36.69%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中证军工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6824.98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50.0716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-7.65%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-21.95%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全指材料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2451.94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4.41%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-7.70%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-29.54%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地产等权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6023.23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-2.17%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-20.94%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证消费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9850.44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-14.73%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-22.60%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证保险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2037.36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-13.60%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中证钢铁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1.41%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-3.52%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-19.76%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证银行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6177.53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6.6911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0.8839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-5.29%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中证白酒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4534.27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21.0678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-21.08%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-24.35%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全指能源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1708.34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-6.70%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-17.48%</w:t>
            </w:r>
          </w:p>
        </w:tc>
      </w:tr>
      <w:tr w:rsidR="00B70C57" w:rsidRPr="00B70C57" w:rsidTr="00B70C57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中证煤炭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1318.68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9.6573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-1.56%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-25.37%</w:t>
            </w:r>
          </w:p>
        </w:tc>
      </w:tr>
    </w:tbl>
    <w:p w:rsidR="003F4F39" w:rsidRPr="003F4F39" w:rsidRDefault="003F4F39">
      <w:pPr>
        <w:rPr>
          <w:b/>
          <w:szCs w:val="21"/>
        </w:rPr>
      </w:pPr>
    </w:p>
    <w:p w:rsidR="007004E1" w:rsidRDefault="00D621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</w:t>
      </w:r>
      <w:r w:rsidR="007004E1" w:rsidRPr="007004E1">
        <w:rPr>
          <w:rFonts w:hint="eastAsia"/>
          <w:b/>
          <w:sz w:val="28"/>
          <w:szCs w:val="28"/>
        </w:rPr>
        <w:t>重要事件</w:t>
      </w:r>
      <w:r w:rsidR="00C57E39">
        <w:rPr>
          <w:rFonts w:hint="eastAsia"/>
          <w:b/>
          <w:sz w:val="28"/>
          <w:szCs w:val="28"/>
        </w:rPr>
        <w:t>回顾</w:t>
      </w:r>
    </w:p>
    <w:p w:rsidR="001F40AC" w:rsidRPr="00E42D70" w:rsidRDefault="001F40AC">
      <w:pPr>
        <w:rPr>
          <w:b/>
          <w:sz w:val="24"/>
          <w:szCs w:val="24"/>
        </w:rPr>
      </w:pPr>
      <w:r w:rsidRPr="00E42D70">
        <w:rPr>
          <w:rFonts w:hint="eastAsia"/>
          <w:b/>
          <w:sz w:val="24"/>
          <w:szCs w:val="24"/>
        </w:rPr>
        <w:t>国内</w:t>
      </w:r>
    </w:p>
    <w:p w:rsidR="00D17670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财政部：三年后外企可获金融全牌照经营资格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财政部：部分互联网企业跨境转移利润、逃避纳税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首届进博会</w:t>
      </w:r>
      <w:proofErr w:type="gramEnd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将于11月5日在上海举办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中共中央政治局召开会议 分析研究当前经济形势和经济工作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央行解读：以市场化方式为民企融资增信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新华社：决不会允许房地产调控半途而废、前功尽弃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国办发布基础设施补短板指导意见：保障融资平台公司正常融资需求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人社部</w:t>
      </w:r>
      <w:proofErr w:type="gramEnd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：4167亿基本养老保险基金已到账并开始投资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前三季度全国规模以上工业企业利润增长14.7%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证监会：减少对交易环节的不必要干预 引导更多增量中长期资金进入市场</w:t>
      </w:r>
    </w:p>
    <w:p w:rsidR="00190955" w:rsidRDefault="00190955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印花税立法为稳预期添活力 推进税收法定原则落实</w:t>
      </w:r>
    </w:p>
    <w:p w:rsidR="00190955" w:rsidRDefault="00190955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民企座谈会传递四大重要信息</w:t>
      </w:r>
    </w:p>
    <w:p w:rsidR="00190955" w:rsidRPr="00190955" w:rsidRDefault="00190955" w:rsidP="00190955">
      <w:pP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88888"/>
          <w:spacing w:val="7"/>
          <w:sz w:val="20"/>
          <w:szCs w:val="20"/>
          <w:shd w:val="clear" w:color="auto" w:fill="FFFFFF"/>
        </w:rPr>
        <w:t>四大重要信息：一是所有民营企业和民营企业家完全可以吃下定心丸、安心谋发展；二是困难是发展中的困难、前进中的问题、成长中的烦恼；三是要不断为民营经济营造更好发展环境，帮助民营经济解决发展中的困难；四是希望广大民营</w:t>
      </w:r>
      <w:proofErr w:type="gramStart"/>
      <w:r>
        <w:rPr>
          <w:rFonts w:ascii="Microsoft YaHei UI" w:eastAsia="Microsoft YaHei UI" w:hAnsi="Microsoft YaHei UI" w:hint="eastAsia"/>
          <w:color w:val="888888"/>
          <w:spacing w:val="7"/>
          <w:sz w:val="20"/>
          <w:szCs w:val="20"/>
          <w:shd w:val="clear" w:color="auto" w:fill="FFFFFF"/>
        </w:rPr>
        <w:t>经济人士加强</w:t>
      </w:r>
      <w:proofErr w:type="gramEnd"/>
      <w:r>
        <w:rPr>
          <w:rFonts w:ascii="Microsoft YaHei UI" w:eastAsia="Microsoft YaHei UI" w:hAnsi="Microsoft YaHei UI" w:hint="eastAsia"/>
          <w:color w:val="888888"/>
          <w:spacing w:val="7"/>
          <w:sz w:val="20"/>
          <w:szCs w:val="20"/>
          <w:shd w:val="clear" w:color="auto" w:fill="FFFFFF"/>
        </w:rPr>
        <w:t>自我学习、自</w:t>
      </w:r>
      <w:r>
        <w:rPr>
          <w:rFonts w:ascii="Microsoft YaHei UI" w:eastAsia="Microsoft YaHei UI" w:hAnsi="Microsoft YaHei UI" w:hint="eastAsia"/>
          <w:color w:val="888888"/>
          <w:spacing w:val="7"/>
          <w:sz w:val="20"/>
          <w:szCs w:val="20"/>
          <w:shd w:val="clear" w:color="auto" w:fill="FFFFFF"/>
        </w:rPr>
        <w:lastRenderedPageBreak/>
        <w:t>我教育、自我提升。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3年2000亿！中日重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启货币</w:t>
      </w:r>
      <w:proofErr w:type="gramEnd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互换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深交所：拓宽化解民企流动性风险资金渠道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“一带一路”国际商协会大会在京盛大开幕</w:t>
      </w:r>
    </w:p>
    <w:p w:rsidR="0003745C" w:rsidRDefault="0003745C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中国商务部就美将福建晋华列入出口管制“实体清单”发表谈话</w:t>
      </w:r>
    </w:p>
    <w:p w:rsidR="0003745C" w:rsidRPr="007F2746" w:rsidRDefault="00190955" w:rsidP="00E10A2A">
      <w:pPr>
        <w:pStyle w:val="a5"/>
        <w:numPr>
          <w:ilvl w:val="0"/>
          <w:numId w:val="7"/>
        </w:numPr>
        <w:ind w:firstLineChars="0"/>
        <w:rPr>
          <w:rStyle w:val="a6"/>
          <w:rFonts w:ascii="Microsoft YaHei UI" w:eastAsia="Microsoft YaHei UI" w:hAnsi="Microsoft YaHei UI"/>
          <w:color w:val="333333"/>
          <w:spacing w:val="7"/>
          <w:sz w:val="19"/>
          <w:szCs w:val="19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总理会见美国国会议员访华团</w:t>
      </w:r>
    </w:p>
    <w:p w:rsidR="00E4367B" w:rsidRPr="00444A7F" w:rsidRDefault="00E4367B" w:rsidP="00CD3061"/>
    <w:p w:rsidR="001F40AC" w:rsidRPr="00E42D70" w:rsidRDefault="001F40AC" w:rsidP="009A2003">
      <w:pPr>
        <w:rPr>
          <w:b/>
          <w:sz w:val="24"/>
          <w:szCs w:val="24"/>
        </w:rPr>
      </w:pPr>
      <w:r w:rsidRPr="00E42D70">
        <w:rPr>
          <w:rFonts w:hint="eastAsia"/>
          <w:b/>
          <w:sz w:val="24"/>
          <w:szCs w:val="24"/>
        </w:rPr>
        <w:t>国际</w:t>
      </w:r>
    </w:p>
    <w:p w:rsidR="00CD3061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预估数据：美国今年第三季度经济增长3.5%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美国经济数据参差不齐市场加剧震荡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美敦促欧盟放弃WTO诉讼 称有望与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加墨达成</w:t>
      </w:r>
      <w:proofErr w:type="gramEnd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关税协议</w:t>
      </w:r>
    </w:p>
    <w:p w:rsidR="0003745C" w:rsidRPr="00190955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 w:rsidRPr="0003745C"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耶伦：要让经济走在正轨上 还需要加息几次</w:t>
      </w:r>
    </w:p>
    <w:p w:rsidR="00190955" w:rsidRPr="0003745C" w:rsidRDefault="00190955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美联储拟放松对美国大型银行机构监管</w:t>
      </w:r>
    </w:p>
    <w:p w:rsid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欧元区经济第三季度环比增幅放缓至0.2%</w:t>
      </w:r>
    </w:p>
    <w:p w:rsidR="0003745C" w:rsidRPr="00190955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 w:rsidRPr="0003745C"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英国财政大臣：将结束财政紧缩 增加“脱欧”准备金</w:t>
      </w:r>
    </w:p>
    <w:p w:rsidR="00190955" w:rsidRPr="0003745C" w:rsidRDefault="00190955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英国官员否认与欧盟达成“金融服务协议” 英镑抹去此前涨幅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德国商业景气指数降至102.8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德国政坛传来突发消息 欧元震动呈“V”字走势</w:t>
      </w:r>
    </w:p>
    <w:p w:rsidR="0003745C" w:rsidRPr="0003745C" w:rsidRDefault="0003745C" w:rsidP="0003745C">
      <w:pPr>
        <w:rPr>
          <w:rStyle w:val="a6"/>
          <w:rFonts w:hint="eastAsia"/>
          <w:b w:val="0"/>
          <w:bCs w:val="0"/>
        </w:rPr>
      </w:pPr>
      <w:r>
        <w:rPr>
          <w:rFonts w:ascii="Microsoft YaHei UI" w:eastAsia="Microsoft YaHei UI" w:hAnsi="Microsoft YaHei UI" w:hint="eastAsia"/>
          <w:color w:val="888888"/>
          <w:spacing w:val="7"/>
          <w:sz w:val="20"/>
          <w:szCs w:val="20"/>
          <w:shd w:val="clear" w:color="auto" w:fill="FFFFFF"/>
        </w:rPr>
        <w:t>10月29日，德国总理默克尔对基民盟党派高层表示不会参加12月份举行的党派主席选举。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日本将于2019年1月1日再放宽签证政策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日本劳动年龄女性就业率创历史新高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日本央行决定超宽松货币政策保持不变</w:t>
      </w:r>
    </w:p>
    <w:p w:rsidR="0003745C" w:rsidRPr="00190955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lastRenderedPageBreak/>
        <w:t>韩国工业产出暴跌 创2009年以来最大降幅</w:t>
      </w:r>
    </w:p>
    <w:p w:rsidR="00190955" w:rsidRPr="0003745C" w:rsidRDefault="00190955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印日签最大</w:t>
      </w:r>
      <w:proofErr w:type="gramEnd"/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规模本币互换协议</w:t>
      </w:r>
    </w:p>
    <w:p w:rsidR="0003745C" w:rsidRPr="0003745C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柬埔寨支持人民币国际化 13家当地商业银行开展人民币业务</w:t>
      </w:r>
    </w:p>
    <w:p w:rsidR="0003745C" w:rsidRPr="00190955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菲律宾：人民币与菲律宾比索将实现直接兑换</w:t>
      </w:r>
    </w:p>
    <w:p w:rsidR="00190955" w:rsidRPr="0003745C" w:rsidRDefault="00190955" w:rsidP="0072463C">
      <w:pPr>
        <w:pStyle w:val="a5"/>
        <w:numPr>
          <w:ilvl w:val="0"/>
          <w:numId w:val="6"/>
        </w:numPr>
        <w:ind w:firstLineChars="0"/>
        <w:rPr>
          <w:rStyle w:val="a6"/>
          <w:rFonts w:hint="eastAsia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俄罗斯对乌克兰322名个人及68家企业实施经济制裁</w:t>
      </w:r>
    </w:p>
    <w:p w:rsidR="0003745C" w:rsidRPr="00E10A2A" w:rsidRDefault="0003745C" w:rsidP="0072463C">
      <w:pPr>
        <w:pStyle w:val="a5"/>
        <w:numPr>
          <w:ilvl w:val="0"/>
          <w:numId w:val="6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7"/>
          <w:sz w:val="19"/>
          <w:szCs w:val="19"/>
          <w:shd w:val="clear" w:color="auto" w:fill="FFFFFF"/>
        </w:rPr>
        <w:t>应对美国制裁 伊朗首次在能源交易所提供原油交易</w:t>
      </w:r>
    </w:p>
    <w:p w:rsidR="001F40AC" w:rsidRDefault="001F40AC" w:rsidP="001F40AC"/>
    <w:p w:rsidR="00D62145" w:rsidRDefault="00D62145" w:rsidP="001F40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本月财经</w:t>
      </w:r>
      <w:r w:rsidRPr="00D62145">
        <w:rPr>
          <w:rFonts w:hint="eastAsia"/>
          <w:b/>
          <w:sz w:val="28"/>
          <w:szCs w:val="28"/>
        </w:rPr>
        <w:t>大事</w:t>
      </w:r>
      <w:r>
        <w:rPr>
          <w:rFonts w:hint="eastAsia"/>
          <w:b/>
          <w:sz w:val="28"/>
          <w:szCs w:val="28"/>
        </w:rPr>
        <w:t>一览</w:t>
      </w:r>
    </w:p>
    <w:p w:rsidR="00AF33AE" w:rsidRPr="00AF33AE" w:rsidRDefault="00AF33AE" w:rsidP="00AF33AE">
      <w:r w:rsidRPr="00AF33AE">
        <w:rPr>
          <w:rFonts w:hint="eastAsia"/>
        </w:rPr>
        <w:t>1</w:t>
      </w:r>
      <w:r w:rsidR="00D3111E">
        <w:rPr>
          <w:rFonts w:hint="eastAsia"/>
        </w:rPr>
        <w:t>1.4</w:t>
      </w:r>
      <w:r w:rsidRPr="00AF33AE">
        <w:rPr>
          <w:rFonts w:hint="eastAsia"/>
        </w:rPr>
        <w:t xml:space="preserve"> </w:t>
      </w:r>
    </w:p>
    <w:p w:rsidR="00D62145" w:rsidRPr="00D3111E" w:rsidRDefault="00D3111E" w:rsidP="00D3111E">
      <w:r w:rsidRPr="00D3111E">
        <w:rPr>
          <w:rFonts w:hint="eastAsia"/>
        </w:rPr>
        <w:t>北美地区开始实行冬令时</w:t>
      </w:r>
    </w:p>
    <w:p w:rsidR="00AF33AE" w:rsidRPr="00D3111E" w:rsidRDefault="00D3111E" w:rsidP="00D3111E">
      <w:r w:rsidRPr="00D3111E">
        <w:rPr>
          <w:rFonts w:hint="eastAsia"/>
        </w:rPr>
        <w:t>美国正式启动对伊朗制裁</w:t>
      </w:r>
    </w:p>
    <w:p w:rsidR="00AF33AE" w:rsidRDefault="00AF33AE" w:rsidP="00AF33AE"/>
    <w:p w:rsidR="00AF33AE" w:rsidRPr="00AF33AE" w:rsidRDefault="00AF33AE" w:rsidP="00AF33AE">
      <w:r w:rsidRPr="00AF33AE">
        <w:rPr>
          <w:rFonts w:hint="eastAsia"/>
        </w:rPr>
        <w:t>1</w:t>
      </w:r>
      <w:r w:rsidR="00D3111E">
        <w:rPr>
          <w:rFonts w:hint="eastAsia"/>
        </w:rPr>
        <w:t>1</w:t>
      </w:r>
      <w:r w:rsidRPr="00AF33AE">
        <w:rPr>
          <w:rFonts w:hint="eastAsia"/>
        </w:rPr>
        <w:t>.</w:t>
      </w:r>
      <w:r w:rsidR="00D3111E">
        <w:rPr>
          <w:rFonts w:hint="eastAsia"/>
        </w:rPr>
        <w:t>6</w:t>
      </w:r>
    </w:p>
    <w:p w:rsidR="00AF33AE" w:rsidRPr="00D3111E" w:rsidRDefault="00D3111E" w:rsidP="00D3111E">
      <w:pPr>
        <w:rPr>
          <w:rFonts w:hint="eastAsia"/>
        </w:rPr>
      </w:pPr>
      <w:r w:rsidRPr="00D3111E">
        <w:rPr>
          <w:rFonts w:hint="eastAsia"/>
        </w:rPr>
        <w:t>澳洲联储公布利率决议及政策声明</w:t>
      </w:r>
    </w:p>
    <w:p w:rsidR="00D3111E" w:rsidRPr="00D3111E" w:rsidRDefault="00D3111E" w:rsidP="00D3111E">
      <w:pPr>
        <w:rPr>
          <w:color w:val="FF0000"/>
        </w:rPr>
      </w:pPr>
      <w:r w:rsidRPr="00D3111E">
        <w:rPr>
          <w:rFonts w:hint="eastAsia"/>
          <w:color w:val="FF0000"/>
        </w:rPr>
        <w:t>2018</w:t>
      </w:r>
      <w:r w:rsidRPr="00D3111E">
        <w:rPr>
          <w:rFonts w:hint="eastAsia"/>
          <w:color w:val="FF0000"/>
        </w:rPr>
        <w:t>年美国国会中期选举</w:t>
      </w:r>
    </w:p>
    <w:p w:rsidR="00AF33AE" w:rsidRDefault="00AF33AE" w:rsidP="00AF33AE"/>
    <w:p w:rsidR="00AF33AE" w:rsidRPr="00AF33AE" w:rsidRDefault="00AF33AE" w:rsidP="00AF33AE">
      <w:r w:rsidRPr="00AF33AE">
        <w:rPr>
          <w:rFonts w:hint="eastAsia"/>
        </w:rPr>
        <w:t>1</w:t>
      </w:r>
      <w:r w:rsidR="00D3111E">
        <w:rPr>
          <w:rFonts w:hint="eastAsia"/>
        </w:rPr>
        <w:t>1.9</w:t>
      </w:r>
    </w:p>
    <w:p w:rsidR="00AF33AE" w:rsidRPr="00D3111E" w:rsidRDefault="00D3111E" w:rsidP="00D3111E">
      <w:r w:rsidRPr="00D3111E">
        <w:rPr>
          <w:rFonts w:hint="eastAsia"/>
        </w:rPr>
        <w:t>美联储</w:t>
      </w:r>
      <w:r w:rsidRPr="00D3111E">
        <w:rPr>
          <w:rFonts w:hint="eastAsia"/>
        </w:rPr>
        <w:t>FOMC</w:t>
      </w:r>
      <w:r w:rsidRPr="00D3111E">
        <w:rPr>
          <w:rFonts w:hint="eastAsia"/>
        </w:rPr>
        <w:t>公布利率决议及政策声明</w:t>
      </w:r>
    </w:p>
    <w:p w:rsidR="00AF33AE" w:rsidRDefault="00AF33AE" w:rsidP="001F40AC">
      <w:pPr>
        <w:rPr>
          <w:rFonts w:hint="eastAsia"/>
        </w:rPr>
      </w:pPr>
    </w:p>
    <w:p w:rsidR="00D3111E" w:rsidRDefault="00D3111E" w:rsidP="001F40AC">
      <w:pPr>
        <w:rPr>
          <w:rFonts w:hint="eastAsia"/>
        </w:rPr>
      </w:pPr>
      <w:r>
        <w:rPr>
          <w:rFonts w:hint="eastAsia"/>
        </w:rPr>
        <w:t>11.15</w:t>
      </w:r>
    </w:p>
    <w:p w:rsidR="00D3111E" w:rsidRPr="00D3111E" w:rsidRDefault="00D3111E" w:rsidP="00D3111E">
      <w:pPr>
        <w:rPr>
          <w:rFonts w:hint="eastAsia"/>
        </w:rPr>
      </w:pPr>
      <w:r w:rsidRPr="00D3111E">
        <w:rPr>
          <w:rFonts w:hint="eastAsia"/>
        </w:rPr>
        <w:t>国家统计局发布大中城市住宅销售价格报告</w:t>
      </w:r>
    </w:p>
    <w:p w:rsidR="00D3111E" w:rsidRPr="00AF33AE" w:rsidRDefault="00D3111E" w:rsidP="001F40AC"/>
    <w:p w:rsidR="001F40AC" w:rsidRPr="001F40AC" w:rsidRDefault="001F40AC" w:rsidP="001F40AC">
      <w:pPr>
        <w:rPr>
          <w:b/>
          <w:sz w:val="28"/>
          <w:szCs w:val="28"/>
        </w:rPr>
      </w:pPr>
      <w:r w:rsidRPr="001F40AC">
        <w:rPr>
          <w:rFonts w:hint="eastAsia"/>
          <w:b/>
          <w:sz w:val="28"/>
          <w:szCs w:val="28"/>
        </w:rPr>
        <w:t>基金市场</w:t>
      </w:r>
    </w:p>
    <w:p w:rsidR="001F40AC" w:rsidRPr="001F40AC" w:rsidRDefault="001F40AC" w:rsidP="001F40AC">
      <w:pPr>
        <w:rPr>
          <w:b/>
        </w:rPr>
      </w:pPr>
      <w:r w:rsidRPr="001F40AC">
        <w:rPr>
          <w:rFonts w:hint="eastAsia"/>
          <w:b/>
        </w:rPr>
        <w:t>沪深</w:t>
      </w:r>
      <w:r w:rsidRPr="001F40AC">
        <w:rPr>
          <w:rFonts w:hint="eastAsia"/>
          <w:b/>
        </w:rPr>
        <w:t>300</w:t>
      </w:r>
      <w:r w:rsidRPr="001F40AC">
        <w:rPr>
          <w:rFonts w:hint="eastAsia"/>
          <w:b/>
        </w:rPr>
        <w:t>基金超额收益</w:t>
      </w:r>
    </w:p>
    <w:tbl>
      <w:tblPr>
        <w:tblW w:w="6540" w:type="dxa"/>
        <w:tblInd w:w="96" w:type="dxa"/>
        <w:tblLook w:val="04A0"/>
      </w:tblPr>
      <w:tblGrid>
        <w:gridCol w:w="2200"/>
        <w:gridCol w:w="1206"/>
        <w:gridCol w:w="1240"/>
        <w:gridCol w:w="986"/>
        <w:gridCol w:w="960"/>
      </w:tblGrid>
      <w:tr w:rsidR="00B70C57" w:rsidRPr="00B70C57" w:rsidTr="00B70C57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规模（亿）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0C57" w:rsidRPr="00B70C57" w:rsidRDefault="00B70C57" w:rsidP="00B70C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超额收益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兴全沪深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163407.OF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15.74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-10.04%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8.33%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富国沪深300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100038.OF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46.28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-10.16%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8.21%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浦银安盛沪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519116.OF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1.21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5.29%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申万菱信沪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310318.OF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4.96%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万家沪深300C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002671.OF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4.74%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中金沪深300C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003579.OF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中金沪深300A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003015.OF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4.58%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银河沪深300成长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161507.OF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-13.93%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4.44%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万家沪深300A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002670.OF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4.13%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华夏沪深300增强A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001015.OF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-14.73%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3.64%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华泰柏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瑞量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化优选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000877.OF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-14.86%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3.51%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博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时裕富沪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050002.OF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3.48%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华安沪深300量化A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000312.OF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-14.93%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3.44%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华夏沪深300增强C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001016.OF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-15.02%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创金合信沪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002310.OF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-15.07%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泰达宏利沪深300A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162213.OF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华泰柏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瑞量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化A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000172.OF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54.95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创金合信沪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002315.OF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博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时裕富沪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002385.OF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华宝沪深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003876.OF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3.16%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泰达宏利沪深300C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003548.OF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华安沪深300量化C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000313.OF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3.07%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景顺长城沪深300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000311.OF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2.67%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嘉实沪深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300增强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000176.OF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2.58%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易</w:t>
            </w: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方达沪深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300量化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110030.OF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10.36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2.36%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招商沪深300A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004190.OF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招商沪深300C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004191.OF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安信沪深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003261.OF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0.70%</w:t>
            </w:r>
          </w:p>
        </w:tc>
      </w:tr>
      <w:tr w:rsidR="00B70C57" w:rsidRPr="00B70C57" w:rsidTr="00B70C5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安信沪深</w:t>
            </w:r>
            <w:proofErr w:type="gramEnd"/>
            <w:r w:rsidRPr="00B70C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003262.OF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-18.01%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C57" w:rsidRPr="00B70C57" w:rsidRDefault="00B70C57" w:rsidP="00B70C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C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0.36%</w:t>
            </w:r>
          </w:p>
        </w:tc>
      </w:tr>
    </w:tbl>
    <w:p w:rsidR="001F40AC" w:rsidRDefault="002F5E1F" w:rsidP="001F40AC">
      <w:r>
        <w:rPr>
          <w:rFonts w:hint="eastAsia"/>
        </w:rPr>
        <w:t>（超额收益率</w:t>
      </w:r>
      <w:r>
        <w:rPr>
          <w:rFonts w:hint="eastAsia"/>
        </w:rPr>
        <w:t>=</w:t>
      </w:r>
      <w:r>
        <w:rPr>
          <w:rFonts w:hint="eastAsia"/>
        </w:rPr>
        <w:t>增强基金收益率</w:t>
      </w:r>
      <w:r>
        <w:rPr>
          <w:rFonts w:hint="eastAsia"/>
        </w:rPr>
        <w:t>-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指数收益率）</w:t>
      </w:r>
    </w:p>
    <w:p w:rsidR="002F5E1F" w:rsidRDefault="002F5E1F" w:rsidP="001F40AC"/>
    <w:p w:rsidR="005C0238" w:rsidRPr="005C0238" w:rsidRDefault="005C0238" w:rsidP="001F40AC">
      <w:pPr>
        <w:rPr>
          <w:b/>
        </w:rPr>
      </w:pPr>
      <w:r w:rsidRPr="005C0238">
        <w:rPr>
          <w:rFonts w:hint="eastAsia"/>
          <w:b/>
        </w:rPr>
        <w:t>中证</w:t>
      </w:r>
      <w:r w:rsidRPr="005C0238">
        <w:rPr>
          <w:rFonts w:hint="eastAsia"/>
          <w:b/>
        </w:rPr>
        <w:t>500</w:t>
      </w:r>
      <w:r w:rsidRPr="005C0238">
        <w:rPr>
          <w:rFonts w:hint="eastAsia"/>
          <w:b/>
        </w:rPr>
        <w:t>基金超额收益</w:t>
      </w:r>
    </w:p>
    <w:tbl>
      <w:tblPr>
        <w:tblW w:w="6959" w:type="dxa"/>
        <w:tblInd w:w="96" w:type="dxa"/>
        <w:tblLook w:val="04A0"/>
      </w:tblPr>
      <w:tblGrid>
        <w:gridCol w:w="2989"/>
        <w:gridCol w:w="1206"/>
        <w:gridCol w:w="960"/>
        <w:gridCol w:w="986"/>
        <w:gridCol w:w="960"/>
      </w:tblGrid>
      <w:tr w:rsidR="00B67F92" w:rsidRPr="00B67F92" w:rsidTr="00B67F92">
        <w:trPr>
          <w:trHeight w:val="288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7F92" w:rsidRPr="00B67F92" w:rsidRDefault="00B67F92" w:rsidP="00B67F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7F92" w:rsidRPr="00B67F92" w:rsidRDefault="00B67F92" w:rsidP="00B67F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7F92" w:rsidRPr="00B67F92" w:rsidRDefault="00B67F92" w:rsidP="00B67F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规模（亿）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7F92" w:rsidRPr="00B67F92" w:rsidRDefault="00B67F92" w:rsidP="00B67F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7F92" w:rsidRPr="00B67F92" w:rsidRDefault="00B67F92" w:rsidP="00B67F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超额收益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申万菱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信中证500优选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003986.OF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2.02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-19.15%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9.85%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长信中证500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004945.OF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0.32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-19.55%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9.45%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汇添富成长多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因子量化策略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001050.OF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10.72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-19.77%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9.23%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华泰柏</w:t>
            </w: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瑞量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化先行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460009.OF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45.36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8.63%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长信量化多策略A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519965.OF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0.90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-20.61%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8.39%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创金合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信量化发现A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003241.OF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2.64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8.29%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博时中证500A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005062.OF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1.15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8.16%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申万菱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信量化小盘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163110.OF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19.27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-21.19%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7.81%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华泰柏</w:t>
            </w: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瑞量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化智慧A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001244.OF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12.45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7.00%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创金合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信中证500A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002311.OF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-22.31%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6.69%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创金合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信中证500C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002316.OF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6.67%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中金中证500C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003578.OF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6.35%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中金中证500A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003016.OF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0.19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6.30%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富国中证500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161017.OF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24.10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6.26%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泰达宏利中证500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162216.OF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1.68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5.92%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申万菱</w:t>
            </w:r>
            <w:proofErr w:type="gramEnd"/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信中证500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002510.OF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0.55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5.17%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泰达宏利量化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001733.OF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0.67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4.79%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景顺长城量化精选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000978.OF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33.82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4.26%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招商中证500A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004192.OF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-26.95%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2.05%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招商中证500C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004193.OF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0.31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-27.20%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南方中证500增强A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002906.OF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2.05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-27.21%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1.79%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建信中证500A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000478.OF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32.36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-27.34%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1.66%</w:t>
            </w:r>
          </w:p>
        </w:tc>
      </w:tr>
      <w:tr w:rsidR="00B67F92" w:rsidRPr="00B67F92" w:rsidTr="00B67F92">
        <w:trPr>
          <w:trHeight w:val="288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南方中证500增强C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002907.OF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1.51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-27.52%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F92" w:rsidRPr="00B67F92" w:rsidRDefault="00B67F92" w:rsidP="00B67F9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7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1.48%</w:t>
            </w:r>
          </w:p>
        </w:tc>
      </w:tr>
    </w:tbl>
    <w:p w:rsidR="005C0238" w:rsidRPr="001F40AC" w:rsidRDefault="002F5E1F" w:rsidP="001F40AC">
      <w:r>
        <w:rPr>
          <w:rFonts w:hint="eastAsia"/>
        </w:rPr>
        <w:t>（超额收益率</w:t>
      </w:r>
      <w:r>
        <w:rPr>
          <w:rFonts w:hint="eastAsia"/>
        </w:rPr>
        <w:t>=</w:t>
      </w:r>
      <w:r>
        <w:rPr>
          <w:rFonts w:hint="eastAsia"/>
        </w:rPr>
        <w:t>增强基金收益率</w:t>
      </w:r>
      <w:r>
        <w:rPr>
          <w:rFonts w:hint="eastAsia"/>
        </w:rPr>
        <w:t>-</w:t>
      </w:r>
      <w:r>
        <w:rPr>
          <w:rFonts w:hint="eastAsia"/>
        </w:rPr>
        <w:t>中证</w:t>
      </w:r>
      <w:r>
        <w:rPr>
          <w:rFonts w:hint="eastAsia"/>
        </w:rPr>
        <w:t>500</w:t>
      </w:r>
      <w:r>
        <w:rPr>
          <w:rFonts w:hint="eastAsia"/>
        </w:rPr>
        <w:t>指数收益率）</w:t>
      </w:r>
    </w:p>
    <w:sectPr w:rsidR="005C0238" w:rsidRPr="001F40AC" w:rsidSect="0086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CC9" w:rsidRDefault="009E2CC9" w:rsidP="007004E1">
      <w:r>
        <w:separator/>
      </w:r>
    </w:p>
  </w:endnote>
  <w:endnote w:type="continuationSeparator" w:id="0">
    <w:p w:rsidR="009E2CC9" w:rsidRDefault="009E2CC9" w:rsidP="00700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CC9" w:rsidRDefault="009E2CC9" w:rsidP="007004E1">
      <w:r>
        <w:separator/>
      </w:r>
    </w:p>
  </w:footnote>
  <w:footnote w:type="continuationSeparator" w:id="0">
    <w:p w:rsidR="009E2CC9" w:rsidRDefault="009E2CC9" w:rsidP="00700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4D94"/>
    <w:multiLevelType w:val="hybridMultilevel"/>
    <w:tmpl w:val="88C6B2BA"/>
    <w:lvl w:ilvl="0" w:tplc="D1705C48">
      <w:start w:val="1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012E6"/>
    <w:multiLevelType w:val="hybridMultilevel"/>
    <w:tmpl w:val="EA66CC34"/>
    <w:lvl w:ilvl="0" w:tplc="C8284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1123E"/>
    <w:multiLevelType w:val="hybridMultilevel"/>
    <w:tmpl w:val="2CD40784"/>
    <w:lvl w:ilvl="0" w:tplc="36AE413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E7632"/>
    <w:multiLevelType w:val="hybridMultilevel"/>
    <w:tmpl w:val="95BA6DEC"/>
    <w:lvl w:ilvl="0" w:tplc="5080C986">
      <w:start w:val="4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E7A8D"/>
    <w:multiLevelType w:val="hybridMultilevel"/>
    <w:tmpl w:val="BE148EE8"/>
    <w:lvl w:ilvl="0" w:tplc="FDBEF4E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292731"/>
    <w:multiLevelType w:val="hybridMultilevel"/>
    <w:tmpl w:val="5B509822"/>
    <w:lvl w:ilvl="0" w:tplc="6B8E8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310CCC"/>
    <w:multiLevelType w:val="hybridMultilevel"/>
    <w:tmpl w:val="9C8C3B88"/>
    <w:lvl w:ilvl="0" w:tplc="57640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4E1"/>
    <w:rsid w:val="0003745C"/>
    <w:rsid w:val="000664E9"/>
    <w:rsid w:val="000A2323"/>
    <w:rsid w:val="000B57B3"/>
    <w:rsid w:val="00121876"/>
    <w:rsid w:val="00121E50"/>
    <w:rsid w:val="00190955"/>
    <w:rsid w:val="001A2EEF"/>
    <w:rsid w:val="001B0278"/>
    <w:rsid w:val="001B4117"/>
    <w:rsid w:val="001E7D9F"/>
    <w:rsid w:val="001F40AC"/>
    <w:rsid w:val="0023214E"/>
    <w:rsid w:val="002B5DBA"/>
    <w:rsid w:val="002C35E1"/>
    <w:rsid w:val="002D2C5C"/>
    <w:rsid w:val="002F5E1F"/>
    <w:rsid w:val="003273E5"/>
    <w:rsid w:val="00332C12"/>
    <w:rsid w:val="003749FF"/>
    <w:rsid w:val="00377655"/>
    <w:rsid w:val="00382938"/>
    <w:rsid w:val="003F4F39"/>
    <w:rsid w:val="00411B01"/>
    <w:rsid w:val="00444A7F"/>
    <w:rsid w:val="00453782"/>
    <w:rsid w:val="004B0EE7"/>
    <w:rsid w:val="004B3664"/>
    <w:rsid w:val="004C733C"/>
    <w:rsid w:val="004E1813"/>
    <w:rsid w:val="004F1172"/>
    <w:rsid w:val="004F1CFA"/>
    <w:rsid w:val="00513C76"/>
    <w:rsid w:val="00561C89"/>
    <w:rsid w:val="0058035D"/>
    <w:rsid w:val="00594234"/>
    <w:rsid w:val="005A4B7B"/>
    <w:rsid w:val="005C0238"/>
    <w:rsid w:val="005D5D1F"/>
    <w:rsid w:val="006244CA"/>
    <w:rsid w:val="00632E9D"/>
    <w:rsid w:val="00685D71"/>
    <w:rsid w:val="006E2AD5"/>
    <w:rsid w:val="006F42DF"/>
    <w:rsid w:val="007004E1"/>
    <w:rsid w:val="00702290"/>
    <w:rsid w:val="0072463C"/>
    <w:rsid w:val="007A073D"/>
    <w:rsid w:val="007C3AEF"/>
    <w:rsid w:val="007E2C01"/>
    <w:rsid w:val="007F2746"/>
    <w:rsid w:val="007F7F52"/>
    <w:rsid w:val="0081604F"/>
    <w:rsid w:val="00866B58"/>
    <w:rsid w:val="00883A31"/>
    <w:rsid w:val="0090095C"/>
    <w:rsid w:val="00943B25"/>
    <w:rsid w:val="00946DF3"/>
    <w:rsid w:val="0096403B"/>
    <w:rsid w:val="00973019"/>
    <w:rsid w:val="009A2003"/>
    <w:rsid w:val="009D71EE"/>
    <w:rsid w:val="009E2CC9"/>
    <w:rsid w:val="009E6693"/>
    <w:rsid w:val="00A41A51"/>
    <w:rsid w:val="00A708C2"/>
    <w:rsid w:val="00AB7BFA"/>
    <w:rsid w:val="00AC6C28"/>
    <w:rsid w:val="00AD10C9"/>
    <w:rsid w:val="00AF33AE"/>
    <w:rsid w:val="00B00E08"/>
    <w:rsid w:val="00B43E92"/>
    <w:rsid w:val="00B67F92"/>
    <w:rsid w:val="00B70C57"/>
    <w:rsid w:val="00BF7BCB"/>
    <w:rsid w:val="00C57E39"/>
    <w:rsid w:val="00C62A8A"/>
    <w:rsid w:val="00CD3061"/>
    <w:rsid w:val="00CE38FB"/>
    <w:rsid w:val="00D0134B"/>
    <w:rsid w:val="00D17670"/>
    <w:rsid w:val="00D3111E"/>
    <w:rsid w:val="00D32486"/>
    <w:rsid w:val="00D62145"/>
    <w:rsid w:val="00DE6335"/>
    <w:rsid w:val="00E10A2A"/>
    <w:rsid w:val="00E42D70"/>
    <w:rsid w:val="00E4367B"/>
    <w:rsid w:val="00E8221E"/>
    <w:rsid w:val="00EB5856"/>
    <w:rsid w:val="00EC6368"/>
    <w:rsid w:val="00ED337E"/>
    <w:rsid w:val="00F31658"/>
    <w:rsid w:val="00FA2334"/>
    <w:rsid w:val="00FF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4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4E1"/>
    <w:rPr>
      <w:sz w:val="18"/>
      <w:szCs w:val="18"/>
    </w:rPr>
  </w:style>
  <w:style w:type="paragraph" w:styleId="a5">
    <w:name w:val="List Paragraph"/>
    <w:basedOn w:val="a"/>
    <w:uiPriority w:val="34"/>
    <w:qFormat/>
    <w:rsid w:val="007004E1"/>
    <w:pPr>
      <w:ind w:firstLineChars="200" w:firstLine="420"/>
    </w:pPr>
  </w:style>
  <w:style w:type="character" w:styleId="a6">
    <w:name w:val="Strong"/>
    <w:basedOn w:val="a0"/>
    <w:uiPriority w:val="22"/>
    <w:qFormat/>
    <w:rsid w:val="00E10A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E38CE-DE56-4F8C-B875-D0899A2D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MYtrip</dc:creator>
  <cp:lastModifiedBy>MYtrip</cp:lastModifiedBy>
  <cp:revision>4</cp:revision>
  <dcterms:created xsi:type="dcterms:W3CDTF">2018-11-03T12:57:00Z</dcterms:created>
  <dcterms:modified xsi:type="dcterms:W3CDTF">2018-11-03T14:01:00Z</dcterms:modified>
</cp:coreProperties>
</file>