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12" w:beforeLines="100" w:line="315" w:lineRule="atLeast"/>
        <w:jc w:val="center"/>
        <w:rPr>
          <w:rFonts w:ascii="Tahoma" w:hAnsi="Tahoma" w:eastAsia="宋体" w:cs="Tahoma"/>
          <w:b/>
          <w:color w:val="000000"/>
          <w:kern w:val="0"/>
          <w:sz w:val="48"/>
          <w:szCs w:val="48"/>
        </w:rPr>
      </w:pPr>
      <w:r>
        <w:rPr>
          <w:rFonts w:hint="eastAsia" w:ascii="Tahoma" w:hAnsi="Tahoma" w:eastAsia="宋体" w:cs="Tahoma"/>
          <w:b/>
          <w:color w:val="000000"/>
          <w:kern w:val="0"/>
          <w:sz w:val="48"/>
          <w:szCs w:val="48"/>
        </w:rPr>
        <w:t>二师父定投学堂周报第</w:t>
      </w:r>
      <w:r>
        <w:rPr>
          <w:rFonts w:hint="eastAsia" w:hAnsi="Tahoma" w:eastAsia="宋体" w:cs="Tahoma"/>
          <w:b/>
          <w:color w:val="000000"/>
          <w:kern w:val="0"/>
          <w:sz w:val="48"/>
          <w:szCs w:val="48"/>
        </w:rPr>
        <w:t>77</w:t>
      </w:r>
      <w:r>
        <w:rPr>
          <w:rFonts w:hint="eastAsia" w:ascii="Tahoma" w:hAnsi="Tahoma" w:eastAsia="宋体" w:cs="Tahoma"/>
          <w:b/>
          <w:color w:val="000000"/>
          <w:kern w:val="0"/>
          <w:sz w:val="48"/>
          <w:szCs w:val="48"/>
        </w:rPr>
        <w:t>期</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tabs>
          <w:tab w:val="center" w:pos="4153"/>
          <w:tab w:val="left" w:pos="6080"/>
        </w:tabs>
        <w:spacing w:line="315" w:lineRule="atLeast"/>
        <w:jc w:val="left"/>
        <w:rPr>
          <w:rFonts w:ascii="Tahoma" w:hAnsi="Tahoma" w:eastAsia="宋体" w:cs="Tahoma"/>
          <w:b/>
          <w:color w:val="000000"/>
          <w:kern w:val="0"/>
          <w:sz w:val="24"/>
          <w:szCs w:val="24"/>
        </w:rPr>
      </w:pPr>
      <w:r>
        <w:rPr>
          <w:rFonts w:ascii="Tahoma" w:hAnsi="Tahoma" w:eastAsia="宋体" w:cs="Tahoma"/>
          <w:b/>
          <w:color w:val="000000"/>
          <w:kern w:val="0"/>
          <w:sz w:val="24"/>
          <w:szCs w:val="24"/>
        </w:rPr>
        <w:tab/>
      </w:r>
      <w:r>
        <w:rPr>
          <w:rFonts w:hint="eastAsia" w:ascii="Tahoma" w:hAnsi="Tahoma" w:eastAsia="宋体" w:cs="Tahoma"/>
          <w:b/>
          <w:color w:val="000000"/>
          <w:kern w:val="0"/>
          <w:sz w:val="24"/>
          <w:szCs w:val="24"/>
        </w:rPr>
        <w:t>2020.10.24</w:t>
      </w:r>
      <w:r>
        <w:rPr>
          <w:rFonts w:ascii="Tahoma" w:hAnsi="Tahoma" w:eastAsia="宋体" w:cs="Tahoma"/>
          <w:b/>
          <w:color w:val="000000"/>
          <w:kern w:val="0"/>
          <w:sz w:val="24"/>
          <w:szCs w:val="24"/>
        </w:rPr>
        <w:tab/>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定投学堂功能如下</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ascii="Tahoma" w:hAnsi="Tahoma" w:eastAsia="宋体" w:cs="Tahoma"/>
          <w:b/>
          <w:color w:val="000000"/>
          <w:kern w:val="0"/>
          <w:sz w:val="24"/>
          <w:szCs w:val="24"/>
        </w:rPr>
        <w:drawing>
          <wp:inline distT="0" distB="0" distL="0" distR="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5" cstate="print"/>
                    <a:srcRect/>
                    <a:stretch>
                      <a:fillRect/>
                    </a:stretch>
                  </pic:blipFill>
                  <pic:spPr>
                    <a:xfrm>
                      <a:off x="0" y="0"/>
                      <a:ext cx="5090160" cy="2590800"/>
                    </a:xfrm>
                    <a:prstGeom prst="rect">
                      <a:avLst/>
                    </a:prstGeom>
                  </pic:spPr>
                </pic:pic>
              </a:graphicData>
            </a:graphic>
          </wp:inline>
        </w:drawing>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有理财需求的朋友也可以关注二师父定投公众号</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drawing>
          <wp:inline distT="0" distB="0" distL="0" distR="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274310" cy="2929890"/>
                    </a:xfrm>
                    <a:prstGeom prst="rect">
                      <a:avLst/>
                    </a:prstGeom>
                    <a:ln>
                      <a:noFill/>
                    </a:ln>
                  </pic:spPr>
                </pic:pic>
              </a:graphicData>
            </a:graphic>
          </wp:inline>
        </w:drawing>
      </w:r>
    </w:p>
    <w:p>
      <w:pPr>
        <w:widowControl/>
        <w:shd w:val="clear" w:color="auto" w:fill="FFFFFF"/>
        <w:spacing w:line="315" w:lineRule="atLeast"/>
        <w:jc w:val="left"/>
        <w:rPr>
          <w:rFonts w:ascii="Tahoma" w:hAnsi="Tahoma" w:eastAsia="宋体" w:cs="Tahoma"/>
          <w:b/>
          <w:color w:val="000000"/>
          <w:kern w:val="0"/>
          <w:sz w:val="32"/>
          <w:szCs w:val="32"/>
        </w:rPr>
      </w:pPr>
      <w:r>
        <w:rPr>
          <w:rFonts w:ascii="Tahoma" w:hAnsi="Tahoma" w:eastAsia="宋体" w:cs="Tahoma"/>
          <w:b/>
          <w:color w:val="000000"/>
          <w:kern w:val="0"/>
          <w:sz w:val="32"/>
          <w:szCs w:val="32"/>
        </w:rPr>
        <w:br w:type="page"/>
      </w:r>
    </w:p>
    <w:p>
      <w:pPr>
        <w:widowControl/>
        <w:shd w:val="clear" w:color="auto" w:fill="FFFFFF"/>
        <w:spacing w:line="315" w:lineRule="atLeast"/>
        <w:jc w:val="left"/>
        <w:rPr>
          <w:rFonts w:ascii="Tahoma" w:hAnsi="Tahoma" w:eastAsia="宋体" w:cs="Tahoma"/>
          <w:b/>
          <w:color w:val="000000"/>
          <w:kern w:val="0"/>
          <w:sz w:val="32"/>
          <w:szCs w:val="32"/>
        </w:rPr>
      </w:pPr>
      <w:r>
        <w:rPr>
          <w:rFonts w:hint="eastAsia" w:ascii="Tahoma" w:hAnsi="Tahoma" w:eastAsia="宋体" w:cs="Tahoma"/>
          <w:b/>
          <w:color w:val="000000"/>
          <w:kern w:val="0"/>
          <w:sz w:val="32"/>
          <w:szCs w:val="32"/>
        </w:rPr>
        <w:t>致学堂学员：</w:t>
      </w:r>
    </w:p>
    <w:p>
      <w:pPr>
        <w:widowControl/>
        <w:shd w:val="clear" w:color="auto" w:fill="FFFFFF"/>
        <w:spacing w:line="315" w:lineRule="atLeast"/>
        <w:jc w:val="left"/>
        <w:rPr>
          <w:rFonts w:ascii="Tahoma" w:hAnsi="Tahoma" w:eastAsia="宋体" w:cs="Tahoma"/>
          <w:b/>
          <w:color w:val="000000"/>
          <w:kern w:val="0"/>
          <w:sz w:val="32"/>
          <w:szCs w:val="32"/>
        </w:rPr>
      </w:pP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widowControl/>
        <w:shd w:val="clear" w:color="auto" w:fill="FFFFFF"/>
        <w:spacing w:line="315" w:lineRule="atLeast"/>
        <w:ind w:firstLine="564"/>
        <w:jc w:val="left"/>
        <w:rPr>
          <w:rFonts w:ascii="仿宋" w:hAnsi="仿宋" w:eastAsia="仿宋" w:cs="Tahoma"/>
          <w:b/>
          <w:color w:val="000000"/>
          <w:kern w:val="0"/>
          <w:sz w:val="28"/>
          <w:szCs w:val="28"/>
        </w:rPr>
      </w:pPr>
      <w:r>
        <w:rPr>
          <w:rFonts w:hint="eastAsia" w:ascii="仿宋" w:hAnsi="仿宋" w:eastAsia="仿宋" w:cs="Tahoma"/>
          <w:color w:val="000000"/>
          <w:kern w:val="0"/>
          <w:sz w:val="28"/>
          <w:szCs w:val="28"/>
        </w:rPr>
        <w:t>大家想要和二师父深入交流也可以把学习心得编辑成word，发到我邮箱，</w:t>
      </w:r>
      <w:r>
        <w:fldChar w:fldCharType="begin"/>
      </w:r>
      <w:r>
        <w:instrText xml:space="preserve"> HYPERLINK "mailto:ershifu1993@126.com" </w:instrText>
      </w:r>
      <w:r>
        <w:fldChar w:fldCharType="separate"/>
      </w:r>
      <w:r>
        <w:rPr>
          <w:rStyle w:val="8"/>
          <w:rFonts w:hint="eastAsia" w:ascii="仿宋" w:hAnsi="仿宋" w:eastAsia="仿宋" w:cs="Tahoma"/>
          <w:kern w:val="0"/>
          <w:sz w:val="28"/>
          <w:szCs w:val="28"/>
        </w:rPr>
        <w:t>ershifudt@126.com</w:t>
      </w:r>
      <w:r>
        <w:rPr>
          <w:rStyle w:val="8"/>
          <w:rFonts w:hint="eastAsia" w:ascii="仿宋" w:hAnsi="仿宋" w:eastAsia="仿宋" w:cs="Tahoma"/>
          <w:kern w:val="0"/>
          <w:sz w:val="28"/>
          <w:szCs w:val="28"/>
        </w:rPr>
        <w:fldChar w:fldCharType="end"/>
      </w:r>
      <w:r>
        <w:rPr>
          <w:rFonts w:hint="eastAsia" w:ascii="仿宋" w:hAnsi="仿宋" w:eastAsia="仿宋" w:cs="Tahom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hint="eastAsia" w:ascii="仿宋" w:hAnsi="仿宋" w:eastAsia="仿宋" w:cs="Tahoma"/>
          <w:b/>
          <w:color w:val="000000"/>
          <w:kern w:val="0"/>
          <w:sz w:val="28"/>
          <w:szCs w:val="28"/>
        </w:rPr>
        <w:t>心怀感激，心存善意，专注做好一件事情，至少对得起光阴岁月。</w:t>
      </w:r>
    </w:p>
    <w:p>
      <w:pPr>
        <w:widowControl/>
        <w:shd w:val="clear" w:color="auto" w:fill="FFFFFF"/>
        <w:spacing w:line="315" w:lineRule="atLeast"/>
        <w:ind w:firstLine="564"/>
        <w:jc w:val="left"/>
        <w:rPr>
          <w:rFonts w:ascii="仿宋" w:hAnsi="仿宋" w:eastAsia="仿宋" w:cs="Tahoma"/>
          <w:color w:val="000000"/>
          <w:kern w:val="0"/>
          <w:sz w:val="28"/>
          <w:szCs w:val="28"/>
        </w:rPr>
      </w:pPr>
    </w:p>
    <w:p>
      <w:pPr>
        <w:widowControl/>
        <w:jc w:val="center"/>
        <w:rPr>
          <w:rFonts w:ascii="宋体" w:hAnsi="宋体" w:eastAsia="宋体" w:cs="Tahoma"/>
          <w:b/>
          <w:kern w:val="0"/>
          <w:sz w:val="10"/>
          <w:szCs w:val="10"/>
        </w:rPr>
      </w:pPr>
      <w:r>
        <w:rPr>
          <w:rFonts w:ascii="Tahoma" w:hAnsi="Tahoma" w:eastAsia="宋体" w:cs="Tahoma"/>
          <w:b/>
          <w:color w:val="2E74B5"/>
          <w:kern w:val="0"/>
          <w:sz w:val="44"/>
          <w:szCs w:val="44"/>
        </w:rPr>
        <w:br w:type="page"/>
      </w:r>
    </w:p>
    <w:p>
      <w:pPr>
        <w:widowControl/>
        <w:shd w:val="clear" w:color="auto" w:fill="FFFFFF"/>
        <w:spacing w:line="315" w:lineRule="atLeast"/>
        <w:ind w:left="140" w:right="225" w:rightChars="107"/>
        <w:jc w:val="left"/>
        <w:rPr>
          <w:rFonts w:ascii="楷体" w:hAnsi="楷体" w:eastAsia="楷体"/>
          <w:b/>
          <w:bCs/>
          <w:sz w:val="24"/>
          <w:szCs w:val="24"/>
        </w:rPr>
      </w:pPr>
      <w:r>
        <w:rPr>
          <w:rFonts w:hint="eastAsia" w:ascii="楷体" w:hAnsi="楷体" w:eastAsia="楷体"/>
          <w:b/>
          <w:bCs/>
          <w:sz w:val="24"/>
          <w:szCs w:val="24"/>
        </w:rPr>
        <w:drawing>
          <wp:inline distT="0" distB="0" distL="114300" distR="114300">
            <wp:extent cx="5272405" cy="2068830"/>
            <wp:effectExtent l="0" t="0" r="10795" b="1270"/>
            <wp:docPr id="1" name="图片 1" descr="1598705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8705379(1)"/>
                    <pic:cNvPicPr>
                      <a:picLocks noChangeAspect="1"/>
                    </pic:cNvPicPr>
                  </pic:nvPicPr>
                  <pic:blipFill>
                    <a:blip r:embed="rId7"/>
                    <a:stretch>
                      <a:fillRect/>
                    </a:stretch>
                  </pic:blipFill>
                  <pic:spPr>
                    <a:xfrm>
                      <a:off x="0" y="0"/>
                      <a:ext cx="5272405" cy="2068830"/>
                    </a:xfrm>
                    <a:prstGeom prst="rect">
                      <a:avLst/>
                    </a:prstGeom>
                  </pic:spPr>
                </pic:pic>
              </a:graphicData>
            </a:graphic>
          </wp:inline>
        </w:drawing>
      </w:r>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left"/>
        <w:rPr>
          <w:rFonts w:ascii="楷体" w:hAnsi="楷体" w:eastAsia="楷体"/>
          <w:b/>
          <w:bCs/>
          <w:color w:val="FF0000"/>
          <w:sz w:val="24"/>
          <w:szCs w:val="24"/>
        </w:rPr>
      </w:pPr>
      <w:r>
        <w:rPr>
          <w:rFonts w:hint="eastAsia" w:ascii="楷体" w:hAnsi="楷体" w:eastAsia="楷体"/>
          <w:b/>
          <w:bCs/>
          <w:color w:val="FF0000"/>
          <w:sz w:val="24"/>
          <w:szCs w:val="24"/>
          <w:lang w:val="en-US" w:eastAsia="zh-CN"/>
        </w:rPr>
        <w:t>本周除银行外一直下行，预计11月会有机会，坐等，现在最考验的是耐心</w:t>
      </w:r>
      <w:r>
        <w:rPr>
          <w:rFonts w:hint="eastAsia" w:ascii="楷体" w:hAnsi="楷体" w:eastAsia="楷体"/>
          <w:b/>
          <w:bCs/>
          <w:color w:val="FF0000"/>
          <w:sz w:val="24"/>
          <w:szCs w:val="24"/>
        </w:rPr>
        <w:t>。</w:t>
      </w:r>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center"/>
        <w:rPr>
          <w:rFonts w:ascii="宋体" w:hAnsi="宋体" w:eastAsia="宋体"/>
          <w:b/>
          <w:color w:val="00B0F0"/>
          <w:kern w:val="0"/>
          <w:sz w:val="44"/>
          <w:szCs w:val="44"/>
        </w:rPr>
      </w:pPr>
      <w:r>
        <w:rPr>
          <w:rFonts w:hint="eastAsia" w:ascii="宋体" w:hAnsi="宋体" w:eastAsia="宋体"/>
          <w:b/>
          <w:color w:val="00B0F0"/>
          <w:kern w:val="0"/>
          <w:sz w:val="44"/>
          <w:szCs w:val="44"/>
        </w:rPr>
        <w:t>投资方法系列</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pacing w:line="315" w:lineRule="atLeast"/>
        <w:jc w:val="left"/>
        <w:rPr>
          <w:rFonts w:ascii="楷体" w:hAnsi="楷体" w:eastAsia="楷体"/>
          <w:b/>
          <w:bCs/>
          <w:color w:val="00B0F0"/>
          <w:kern w:val="0"/>
          <w:sz w:val="24"/>
          <w:szCs w:val="24"/>
        </w:rPr>
      </w:pPr>
    </w:p>
    <w:p>
      <w:pPr>
        <w:widowControl/>
        <w:shd w:val="clear" w:color="auto" w:fill="FFFFFF"/>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三丰 提问：市盈率 市净率 RoE值 各自在哪个数值单位算是高、低</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市盈率是市值和盈利的比值，同一类型指数市盈率越低表示其估值越低，具体参考阈值区间，净资产收益率没有固定界限，15到30之间为佳</w:t>
      </w:r>
    </w:p>
    <w:p>
      <w:pPr>
        <w:widowControl/>
        <w:shd w:val="clear" w:color="auto" w:fill="FFFFFF"/>
        <w:spacing w:line="315" w:lineRule="atLeast"/>
        <w:jc w:val="left"/>
        <w:rPr>
          <w:rFonts w:ascii="楷体" w:hAnsi="楷体" w:eastAsia="楷体"/>
          <w:sz w:val="24"/>
          <w:szCs w:val="24"/>
        </w:rPr>
      </w:pPr>
    </w:p>
    <w:p>
      <w:pPr>
        <w:widowControl/>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拥抱太阳的风筝 提问：二师父，债券基金也有主动基金和被动基金之分，在纯债基金这一类中，晨星中国官网显示，易方达中债新综合债券指数A（161119），晨星三年评级和五年评级都是四星级，在随后的债券熊市中，投资该基金怎么样，现在的主流言论说，投资债券主动基金比债券指数基金好</w:t>
      </w:r>
    </w:p>
    <w:p>
      <w:pPr>
        <w:widowControl/>
        <w:spacing w:line="315" w:lineRule="atLeast"/>
        <w:jc w:val="left"/>
        <w:rPr>
          <w:rFonts w:ascii="inherit" w:hAnsi="inherit" w:eastAsia="宋体"/>
          <w:color w:val="2F3034"/>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可以投资的，债券主动基金比指数好，是有条件的，就是他投资的债券不雷，基金经理不挂羊头卖狗肉，之前诺安有个基金就雷了，反正投资主动基金自己及时查看基金持仓，保证持仓不会发生较大的风格漂移。</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Sara 提问：师父，新规不准银行从事证券业务感觉会对银行产生大的影响，恒生是否会大跌，现阶段亏损将近9个点，是否止损比较合适?</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恒生是收到了香港的影响，不用止损，如果觉得方向不好就调仓。</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nana 提问：提问：师父，50AH目前盈利12个点，是逐渐卖出换其他指数基金吗？</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可以的，50AH 的话持仓和国企类似，属于价值类基金，防守配置</w:t>
      </w:r>
    </w:p>
    <w:p>
      <w:pPr>
        <w:widowControl/>
        <w:shd w:val="clear" w:color="auto" w:fill="FFFFFF"/>
        <w:spacing w:line="315" w:lineRule="atLeast"/>
        <w:jc w:val="left"/>
        <w:rPr>
          <w:rFonts w:ascii="楷体" w:hAnsi="楷体" w:eastAsia="楷体"/>
          <w:sz w:val="24"/>
          <w:szCs w:val="24"/>
        </w:rPr>
      </w:pPr>
    </w:p>
    <w:p>
      <w:pPr>
        <w:widowControl/>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Rachel 提问：请问现在买富国兴利增强债券基金好吗？ 005121 偏债型基金好还是纯债基金好 ？</w:t>
      </w:r>
    </w:p>
    <w:p>
      <w:pPr>
        <w:widowControl/>
        <w:spacing w:line="315" w:lineRule="atLeast"/>
        <w:jc w:val="left"/>
        <w:rPr>
          <w:rFonts w:ascii="inherit" w:hAnsi="inherit" w:eastAsia="宋体"/>
          <w:color w:val="2F3034"/>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这个都差不多，投资主动性债券基金自己跟踪下持仓，防止挂羊头卖狗肉 历史平均收益看，好的偏债混合会比纯债基金收益好一点</w:t>
      </w:r>
    </w:p>
    <w:p>
      <w:pPr>
        <w:widowControl/>
        <w:shd w:val="clear" w:color="auto" w:fill="FFFFFF"/>
        <w:spacing w:line="315" w:lineRule="atLeast"/>
        <w:jc w:val="left"/>
        <w:rPr>
          <w:rFonts w:hint="eastAsia" w:ascii="楷体" w:hAnsi="楷体" w:eastAsia="楷体"/>
          <w:sz w:val="24"/>
          <w:szCs w:val="24"/>
        </w:rPr>
      </w:pPr>
    </w:p>
    <w:p>
      <w:pPr>
        <w:widowControl/>
        <w:shd w:val="clear" w:color="auto" w:fill="FFFFFF"/>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付云 提问：二师父，现在想买点新能源汽车ETF515700'可以不？</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分批低吸可以，这是个好方向，基金也不错</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付云 提问：二师父，新能源汽车ETF515700多少价位比较合适？</w:t>
      </w:r>
    </w:p>
    <w:p>
      <w:pPr>
        <w:widowControl/>
        <w:shd w:val="clear" w:color="auto" w:fill="FFFFFF"/>
        <w:spacing w:line="315" w:lineRule="atLeast"/>
        <w:jc w:val="left"/>
        <w:rPr>
          <w:rFonts w:hint="eastAsia" w:ascii="inherit" w:hAnsi="inherit" w:eastAsia="宋体" w:cs="Tahoma"/>
          <w:color w:val="2F3034"/>
          <w:kern w:val="0"/>
          <w:szCs w:val="21"/>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如果定投重仓的话严格根据估值表的安全边际，轻仓投资没有高估回撤到支撑位可以</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inherit" w:hAnsi="inherit" w:eastAsia="宋体" w:cs="Tahoma"/>
          <w:color w:val="2F3034"/>
          <w:kern w:val="0"/>
          <w:szCs w:val="21"/>
        </w:rPr>
      </w:pPr>
      <w:r>
        <w:rPr>
          <w:rFonts w:ascii="楷体" w:hAnsi="楷体" w:eastAsia="楷体"/>
          <w:b/>
          <w:bCs/>
          <w:color w:val="548DD4" w:themeColor="text2" w:themeTint="99"/>
          <w:kern w:val="0"/>
          <w:sz w:val="24"/>
          <w:szCs w:val="24"/>
        </w:rPr>
        <w:t>范毅君 提问：二师父，新能源车及相关电池，什么个股值得关注？不知道能不能说</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隆基股份，比亚迪，宁德时代</w:t>
      </w:r>
    </w:p>
    <w:p>
      <w:pPr>
        <w:widowControl/>
        <w:shd w:val="clear" w:color="auto" w:fill="FFFFFF"/>
        <w:spacing w:line="315" w:lineRule="atLeast"/>
        <w:jc w:val="left"/>
        <w:rPr>
          <w:rFonts w:ascii="楷体" w:hAnsi="楷体" w:eastAsia="楷体"/>
          <w:sz w:val="24"/>
          <w:szCs w:val="24"/>
        </w:rPr>
      </w:pPr>
    </w:p>
    <w:p>
      <w:pPr>
        <w:widowControl/>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天马行空 提问：二师父，平安和招银的代码多少，怕买错了谢谢。这两只股票网格具体咋做。</w:t>
      </w:r>
    </w:p>
    <w:p>
      <w:pPr>
        <w:widowControl/>
        <w:spacing w:line="315" w:lineRule="atLeast"/>
        <w:jc w:val="left"/>
        <w:rPr>
          <w:rFonts w:ascii="inherit" w:hAnsi="inherit" w:eastAsia="宋体"/>
          <w:color w:val="2F3034"/>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券商做网格吧，银行网格风险较大，券商网格还是好一点，1.12可以开始建仓</w:t>
      </w:r>
    </w:p>
    <w:p>
      <w:pPr>
        <w:widowControl/>
        <w:shd w:val="clear" w:color="auto" w:fill="FFFFFF"/>
        <w:spacing w:line="315" w:lineRule="atLeast"/>
        <w:jc w:val="left"/>
        <w:rPr>
          <w:rFonts w:hint="eastAsia" w:ascii="楷体" w:hAnsi="楷体" w:eastAsia="楷体"/>
          <w:sz w:val="24"/>
          <w:szCs w:val="24"/>
        </w:rPr>
      </w:pPr>
    </w:p>
    <w:p>
      <w:pPr>
        <w:widowControl/>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是喵喵吖～ 提问：二师父我的平安银行成本是-12了，还有一手这一手我是留着 等以后用来加仓平摊成本风险 还是卖掉 以后可以再买 想听下您的建议 谢谢！ 其实我卖不卖都行，不卖如果跌了我也不会后悔。就是想听听您的思路和想法。</w:t>
      </w:r>
    </w:p>
    <w:p>
      <w:pPr>
        <w:widowControl/>
        <w:spacing w:line="315" w:lineRule="atLeast"/>
        <w:jc w:val="left"/>
        <w:rPr>
          <w:rFonts w:ascii="inherit" w:hAnsi="inherit" w:eastAsia="宋体"/>
          <w:color w:val="2F3034"/>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再涨涨也可以出了，关键你留着没多大意义，也不能够打新的门槛，股票风险千万不要用加仓平摊成本，典型例子是民生，要选对方向，分散，等待好的价格，这和定投不一样，定投选几个好指数无脑扣款就能盈利</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范毅君 提问：二师父，是不是阶段性行情还是不太确定，我看最近主力自己一直流出状态，但量都不算大</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目前资金炒可转债去了，前期涨了很多，也得休息休息，不能直线上啊</w:t>
      </w:r>
    </w:p>
    <w:p>
      <w:pPr>
        <w:widowControl/>
        <w:shd w:val="clear" w:color="auto" w:fill="FFFFFF"/>
        <w:spacing w:line="315" w:lineRule="atLeast"/>
        <w:jc w:val="left"/>
        <w:rPr>
          <w:rFonts w:ascii="楷体" w:hAnsi="楷体" w:eastAsia="楷体"/>
          <w:sz w:val="24"/>
          <w:szCs w:val="24"/>
        </w:rPr>
      </w:pPr>
    </w:p>
    <w:p>
      <w:pPr>
        <w:widowControl/>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天马行空 提问：二师父，恩华药业已跌破百分之八，17.25入的，仓位不多，不想割肉，长期拿着等反弹可以吗。谢谢。</w:t>
      </w:r>
    </w:p>
    <w:p>
      <w:pPr>
        <w:widowControl/>
        <w:spacing w:line="315" w:lineRule="atLeast"/>
        <w:jc w:val="left"/>
        <w:rPr>
          <w:rFonts w:ascii="inherit" w:hAnsi="inherit" w:eastAsia="宋体"/>
          <w:color w:val="2F3034"/>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 xml:space="preserve">最好别这样，死握住一只下行股，运气好可以起来，万一起不来那就是很大的损失，设定的标准一定要严格遵守，尤其是随着资金量的增大。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做投资不能想赢又怕输，除了指数投资和保本型产品，没有一定是盈利的，赢得概率大就行，17年的时候我也买过民生，当时是便宜，不过买了之后效果不好，到达8个点就出了，如果拿到现在还是亏的，而我卖出的资金转而投资其他品种早就盈利n倍了。</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天马行空 提问：再请教二师父，为何止损定位在亏损百分之8，而不是百分之十或者十五。有何意义吗。谢谢。</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基本一只股票买了正常浮动就会波动上涨，如果一只股票买了立刻跌十几个点要么是踩雷了，要么价格不合适，早点离开会避免更多的损失，投资10万，一次15个点止损，你一下子就少了1.5，8到10是比较合适的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具体情况具体对待，好质量的可以拿着不做止损，关键看买入价和基本面</w:t>
      </w:r>
    </w:p>
    <w:p>
      <w:pPr>
        <w:widowControl/>
        <w:shd w:val="clear" w:color="auto" w:fill="FFFFFF"/>
        <w:spacing w:line="315" w:lineRule="atLeast"/>
        <w:jc w:val="left"/>
        <w:rPr>
          <w:rFonts w:ascii="楷体" w:hAnsi="楷体" w:eastAsia="楷体"/>
          <w:sz w:val="24"/>
          <w:szCs w:val="24"/>
        </w:rPr>
      </w:pPr>
      <w:bookmarkStart w:id="0" w:name="_GoBack"/>
      <w:bookmarkEnd w:id="0"/>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hint="eastAsia" w:ascii="楷体" w:hAnsi="楷体" w:eastAsia="楷体"/>
          <w:sz w:val="24"/>
          <w:szCs w:val="24"/>
        </w:rPr>
      </w:pPr>
    </w:p>
    <w:p>
      <w:pPr>
        <w:widowControl/>
        <w:spacing w:line="400" w:lineRule="exact"/>
        <w:jc w:val="left"/>
        <w:rPr>
          <w:rFonts w:ascii="仿宋" w:hAnsi="仿宋" w:eastAsia="仿宋" w:cs="Tahoma"/>
          <w:b/>
          <w:bCs/>
          <w:color w:val="000000"/>
          <w:kern w:val="0"/>
          <w:sz w:val="28"/>
          <w:szCs w:val="28"/>
        </w:rPr>
      </w:pPr>
      <w:r>
        <w:rPr>
          <w:rFonts w:hint="eastAsia" w:ascii="仿宋" w:hAnsi="仿宋" w:eastAsia="仿宋" w:cs="Tahoma"/>
          <w:b/>
          <w:bCs/>
          <w:color w:val="000000"/>
          <w:kern w:val="0"/>
          <w:sz w:val="28"/>
          <w:szCs w:val="28"/>
        </w:rPr>
        <w:t>免责声明：本周报任何观点，皆为二师父个人投资心得及投资者交流记录，不构成投资建议。读者根据本周报及星球其他观点进行投资，须自行承担风险。</w:t>
      </w: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E1AC1"/>
    <w:rsid w:val="00013D72"/>
    <w:rsid w:val="000C3AC1"/>
    <w:rsid w:val="000E0B58"/>
    <w:rsid w:val="00224B4B"/>
    <w:rsid w:val="00233DFB"/>
    <w:rsid w:val="0032718C"/>
    <w:rsid w:val="00351F61"/>
    <w:rsid w:val="00542B8D"/>
    <w:rsid w:val="0055317D"/>
    <w:rsid w:val="00577096"/>
    <w:rsid w:val="005B17B6"/>
    <w:rsid w:val="006373AC"/>
    <w:rsid w:val="00677A06"/>
    <w:rsid w:val="006A022E"/>
    <w:rsid w:val="00780102"/>
    <w:rsid w:val="00783BCC"/>
    <w:rsid w:val="007C4F0F"/>
    <w:rsid w:val="007E0165"/>
    <w:rsid w:val="00871D03"/>
    <w:rsid w:val="00875A16"/>
    <w:rsid w:val="008E3C97"/>
    <w:rsid w:val="009A13E2"/>
    <w:rsid w:val="00A26A32"/>
    <w:rsid w:val="00A53E97"/>
    <w:rsid w:val="00A82F4D"/>
    <w:rsid w:val="00AE3360"/>
    <w:rsid w:val="00B16941"/>
    <w:rsid w:val="00B75B05"/>
    <w:rsid w:val="00B807B9"/>
    <w:rsid w:val="00B910AF"/>
    <w:rsid w:val="00B93E91"/>
    <w:rsid w:val="00BA72D9"/>
    <w:rsid w:val="00C233A2"/>
    <w:rsid w:val="00CB6025"/>
    <w:rsid w:val="00D365C4"/>
    <w:rsid w:val="00E222A6"/>
    <w:rsid w:val="00E666DD"/>
    <w:rsid w:val="00EA3591"/>
    <w:rsid w:val="00EC44A8"/>
    <w:rsid w:val="00F33A97"/>
    <w:rsid w:val="00F46197"/>
    <w:rsid w:val="00F55464"/>
    <w:rsid w:val="00FE1AC1"/>
    <w:rsid w:val="05D3487F"/>
    <w:rsid w:val="05DD00C2"/>
    <w:rsid w:val="0983196C"/>
    <w:rsid w:val="102078E9"/>
    <w:rsid w:val="13BA4FBC"/>
    <w:rsid w:val="15566253"/>
    <w:rsid w:val="15F24B5F"/>
    <w:rsid w:val="16644E88"/>
    <w:rsid w:val="188C53B9"/>
    <w:rsid w:val="191465EA"/>
    <w:rsid w:val="19286736"/>
    <w:rsid w:val="1AC437B1"/>
    <w:rsid w:val="1DBC524B"/>
    <w:rsid w:val="21AB0A8C"/>
    <w:rsid w:val="228A4310"/>
    <w:rsid w:val="24263DD3"/>
    <w:rsid w:val="28286A15"/>
    <w:rsid w:val="29BD1572"/>
    <w:rsid w:val="2A3575D9"/>
    <w:rsid w:val="2BB85BE1"/>
    <w:rsid w:val="2D812ED5"/>
    <w:rsid w:val="2DE66F12"/>
    <w:rsid w:val="2FF97CAF"/>
    <w:rsid w:val="30E1480D"/>
    <w:rsid w:val="352946CD"/>
    <w:rsid w:val="357A12F1"/>
    <w:rsid w:val="381D4E27"/>
    <w:rsid w:val="3875535C"/>
    <w:rsid w:val="38A80959"/>
    <w:rsid w:val="3A36183F"/>
    <w:rsid w:val="3CEB5593"/>
    <w:rsid w:val="3D2D490B"/>
    <w:rsid w:val="3EFB62F7"/>
    <w:rsid w:val="40B56216"/>
    <w:rsid w:val="42FC17EB"/>
    <w:rsid w:val="435B5BD0"/>
    <w:rsid w:val="441E623A"/>
    <w:rsid w:val="48DA6819"/>
    <w:rsid w:val="4C18324E"/>
    <w:rsid w:val="4CE97840"/>
    <w:rsid w:val="4F387F45"/>
    <w:rsid w:val="50994A59"/>
    <w:rsid w:val="51E54E18"/>
    <w:rsid w:val="53277845"/>
    <w:rsid w:val="53C17370"/>
    <w:rsid w:val="53E166B7"/>
    <w:rsid w:val="54910637"/>
    <w:rsid w:val="583D5FDE"/>
    <w:rsid w:val="5A297315"/>
    <w:rsid w:val="5A6D12FD"/>
    <w:rsid w:val="5AEE25FE"/>
    <w:rsid w:val="5E6A4144"/>
    <w:rsid w:val="5F314654"/>
    <w:rsid w:val="63D6482E"/>
    <w:rsid w:val="672A7413"/>
    <w:rsid w:val="68A02CA9"/>
    <w:rsid w:val="69C73DB1"/>
    <w:rsid w:val="6FF92A8C"/>
    <w:rsid w:val="753E6545"/>
    <w:rsid w:val="7CC111F3"/>
    <w:rsid w:val="7DC5462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8"/>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apple-converted-space"/>
    <w:basedOn w:val="7"/>
    <w:qFormat/>
    <w:uiPriority w:val="0"/>
  </w:style>
  <w:style w:type="character" w:customStyle="1" w:styleId="12">
    <w:name w:val="question_text"/>
    <w:basedOn w:val="7"/>
    <w:qFormat/>
    <w:uiPriority w:val="0"/>
  </w:style>
  <w:style w:type="paragraph" w:customStyle="1" w:styleId="13">
    <w:name w:val="topic-pp"/>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4">
    <w:name w:val="批注框文本 字符"/>
    <w:basedOn w:val="7"/>
    <w:link w:val="3"/>
    <w:qFormat/>
    <w:uiPriority w:val="99"/>
    <w:rPr>
      <w:sz w:val="18"/>
      <w:szCs w:val="18"/>
    </w:rPr>
  </w:style>
  <w:style w:type="paragraph" w:customStyle="1" w:styleId="15">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6">
    <w:name w:val="reply_text"/>
    <w:basedOn w:val="7"/>
    <w:qFormat/>
    <w:uiPriority w:val="0"/>
  </w:style>
  <w:style w:type="paragraph" w:styleId="17">
    <w:name w:val="List Paragraph"/>
    <w:basedOn w:val="1"/>
    <w:qFormat/>
    <w:uiPriority w:val="34"/>
    <w:pPr>
      <w:ind w:firstLine="420" w:firstLineChars="200"/>
    </w:pPr>
  </w:style>
  <w:style w:type="character" w:customStyle="1" w:styleId="18">
    <w:name w:val="日期 字符"/>
    <w:basedOn w:val="7"/>
    <w:link w:val="2"/>
    <w:qFormat/>
    <w:uiPriority w:val="99"/>
  </w:style>
  <w:style w:type="character" w:customStyle="1" w:styleId="19">
    <w:name w:val="combined_like_num"/>
    <w:basedOn w:val="7"/>
    <w:qFormat/>
    <w:uiPriority w:val="0"/>
  </w:style>
  <w:style w:type="character" w:customStyle="1" w:styleId="20">
    <w:name w:val="combined_comment_num"/>
    <w:basedOn w:val="7"/>
    <w:qFormat/>
    <w:uiPriority w:val="0"/>
  </w:style>
  <w:style w:type="character" w:customStyle="1" w:styleId="21">
    <w:name w:val="question-contain"/>
    <w:basedOn w:val="7"/>
    <w:qFormat/>
    <w:uiPriority w:val="0"/>
  </w:style>
  <w:style w:type="character" w:customStyle="1" w:styleId="22">
    <w:name w:val="comment"/>
    <w:basedOn w:val="7"/>
    <w:qFormat/>
    <w:uiPriority w:val="0"/>
  </w:style>
  <w:style w:type="character" w:customStyle="1" w:styleId="23">
    <w:name w:val="tex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F8023-49C4-457E-A2E7-EB5771B3AD30}">
  <ds:schemaRefs/>
</ds:datastoreItem>
</file>

<file path=docProps/app.xml><?xml version="1.0" encoding="utf-8"?>
<Properties xmlns="http://schemas.openxmlformats.org/officeDocument/2006/extended-properties" xmlns:vt="http://schemas.openxmlformats.org/officeDocument/2006/docPropsVTypes">
  <Template>Normal</Template>
  <Pages>1</Pages>
  <Words>407</Words>
  <Characters>2321</Characters>
  <Lines>19</Lines>
  <Paragraphs>5</Paragraphs>
  <TotalTime>2846</TotalTime>
  <ScaleCrop>false</ScaleCrop>
  <LinksUpToDate>false</LinksUpToDate>
  <CharactersWithSpaces>2723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微笑</cp:lastModifiedBy>
  <cp:lastPrinted>2019-04-06T13:44:00Z</cp:lastPrinted>
  <dcterms:modified xsi:type="dcterms:W3CDTF">2020-10-23T15:17:53Z</dcterms:modified>
  <cp:revision>231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