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2C3A0B" w:rsidP="002C3A0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1062888" wp14:editId="767057BF">
            <wp:extent cx="5274310" cy="171048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5" w:rsidRDefault="002C3A0B" w:rsidP="00B05AB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10年期国债收益率还是处于一个相对低位，按照这个趋势看，资金并未大幅涌入到股市，持股过年比持币过年要强一点</w:t>
      </w:r>
      <w:r w:rsidR="00F80CAA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8532B" w:rsidRDefault="002C3A0B" w:rsidP="002C3A0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5F7FA87" wp14:editId="226EF964">
            <wp:extent cx="5266483" cy="250767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美元</w:t>
      </w:r>
      <w:r w:rsidR="002C3A0B">
        <w:rPr>
          <w:rFonts w:ascii="仿宋" w:eastAsia="仿宋" w:hAnsi="仿宋" w:cs="Helvetica" w:hint="eastAsia"/>
          <w:color w:val="000000"/>
          <w:sz w:val="25"/>
          <w:szCs w:val="25"/>
        </w:rPr>
        <w:t>兑离岸人民币汇率6.97，</w:t>
      </w:r>
      <w:r w:rsidR="0092064F">
        <w:rPr>
          <w:rFonts w:ascii="仿宋" w:eastAsia="仿宋" w:hAnsi="仿宋" w:cs="Helvetica" w:hint="eastAsia"/>
          <w:color w:val="000000"/>
          <w:sz w:val="25"/>
          <w:szCs w:val="25"/>
        </w:rPr>
        <w:t>人民币小幅回升后继续贬值</w:t>
      </w:r>
      <w:r w:rsidR="0013068B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92064F" w:rsidRPr="0092064F" w:rsidRDefault="0092064F" w:rsidP="0092064F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 w:rsidRPr="0092064F">
        <w:rPr>
          <w:rFonts w:ascii="仿宋" w:eastAsia="仿宋" w:hAnsi="仿宋" w:cs="Helvetica" w:hint="eastAsia"/>
          <w:color w:val="000000"/>
          <w:sz w:val="25"/>
          <w:szCs w:val="25"/>
        </w:rPr>
        <w:t>人民银行6日公告称，今日下调金融机构存款准备金率0.5个百分点，释放长期资金8000多亿元。银行体系流动性总量处于较高水平，可吸收央行逆回购到期等因素的影响，今日不开展逆回购操作。今日有500亿元14天逆回购到期。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这个消息之前就发布了，短期是利好股市和银行的。</w:t>
      </w:r>
    </w:p>
    <w:p w:rsidR="00F0339E" w:rsidRDefault="004A23A8" w:rsidP="004A23A8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B508D10" wp14:editId="1275386B">
            <wp:extent cx="5274310" cy="264326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4F" w:rsidRDefault="0092064F" w:rsidP="0092064F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92064F">
        <w:rPr>
          <w:rFonts w:ascii="仿宋" w:eastAsia="仿宋" w:hAnsi="仿宋" w:cs="Helvetica" w:hint="eastAsia"/>
          <w:color w:val="000000"/>
          <w:sz w:val="25"/>
          <w:szCs w:val="25"/>
        </w:rPr>
        <w:t>全球负利率蔓延的情况下，黄金投资需求上升，支撑金价长周期上行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，</w:t>
      </w:r>
    </w:p>
    <w:p w:rsidR="0092064F" w:rsidRDefault="0092064F" w:rsidP="0092064F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短期美伊冲突也会加速黄金上涨，黄金可以继续持有。</w:t>
      </w:r>
    </w:p>
    <w:p w:rsidR="0013068B" w:rsidRDefault="004A23A8" w:rsidP="004A23A8">
      <w:pPr>
        <w:pStyle w:val="a5"/>
        <w:shd w:val="clear" w:color="auto" w:fill="FFFFFF"/>
        <w:spacing w:before="0" w:beforeAutospacing="0" w:after="0" w:afterAutospacing="0" w:line="160" w:lineRule="atLeast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C134190" wp14:editId="45D8CF00">
            <wp:extent cx="5274310" cy="39331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8B" w:rsidRDefault="004A23A8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这是北向资金持续流入的情况，可见机构对A股洼地的青睐</w:t>
      </w:r>
      <w:r w:rsidR="00844D19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0339E" w:rsidRDefault="004A23A8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还有一个消息。银保监会发布消息称</w:t>
      </w:r>
      <w:r w:rsidR="00067C46">
        <w:rPr>
          <w:rFonts w:ascii="仿宋" w:eastAsia="仿宋" w:hAnsi="仿宋" w:cs="Helvetica" w:hint="eastAsia"/>
          <w:color w:val="000000"/>
          <w:sz w:val="25"/>
          <w:szCs w:val="25"/>
        </w:rPr>
        <w:t>要采用多种渠道促进居民储蓄有效转化为资本市场长期资金。引导方式就是让银行和保险机构发产品，把居民的资金集中起来，然后机构投资。</w:t>
      </w:r>
    </w:p>
    <w:p w:rsidR="00067C46" w:rsidRDefault="00067C46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个方法一定可行，房子不涨，余额宝的利率2%，最后越来越低，不可能再存入银行，那么就是个人资金涌入股市，就是个人资金被机构汇聚。资本都是逐利的，你放心就是傻子也不会把钱放在手里贬值。这对于股市仍旧是利好。</w:t>
      </w:r>
    </w:p>
    <w:p w:rsidR="00CF3602" w:rsidRPr="008E4FF3" w:rsidRDefault="00067C46" w:rsidP="008E4FF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未来股市怎么走不预测，我只能在最低点或者最高点看到未来。需要提醒的是，不要总等待所谓的2500，可能还会再出现，可能永远不会出现，既然如此，那就再相对低位买入就可以了，企图买到最低点也是一种贪婪。现在看2500是低点，可是重新回到那个时候，有多少人会克服恐惧买入呢？</w:t>
      </w:r>
      <w:bookmarkStart w:id="0" w:name="_GoBack"/>
      <w:bookmarkEnd w:id="0"/>
    </w:p>
    <w:sectPr w:rsidR="00CF3602" w:rsidRPr="008E4FF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65" w:rsidRDefault="00DE4965" w:rsidP="00D82020">
      <w:r>
        <w:separator/>
      </w:r>
    </w:p>
  </w:endnote>
  <w:endnote w:type="continuationSeparator" w:id="0">
    <w:p w:rsidR="00DE4965" w:rsidRDefault="00DE4965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65" w:rsidRDefault="00DE4965" w:rsidP="00D82020">
      <w:r>
        <w:separator/>
      </w:r>
    </w:p>
  </w:footnote>
  <w:footnote w:type="continuationSeparator" w:id="0">
    <w:p w:rsidR="00DE4965" w:rsidRDefault="00DE4965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67C46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C3A0B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23A8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4FF3"/>
    <w:rsid w:val="008E5506"/>
    <w:rsid w:val="0092064F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4965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54AD-A7D3-457B-8B2C-E837E3D6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140</cp:revision>
  <dcterms:created xsi:type="dcterms:W3CDTF">2018-01-29T14:59:00Z</dcterms:created>
  <dcterms:modified xsi:type="dcterms:W3CDTF">2020-01-06T04:03:00Z</dcterms:modified>
</cp:coreProperties>
</file>