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8AC" w:rsidRDefault="00CE0550" w:rsidP="004518AC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阿里巴巴</w:t>
      </w:r>
      <w:r w:rsidR="004518AC">
        <w:rPr>
          <w:rFonts w:hint="eastAsia"/>
          <w:sz w:val="36"/>
          <w:szCs w:val="36"/>
        </w:rPr>
        <w:t>回</w:t>
      </w:r>
      <w:r w:rsidR="007B7714">
        <w:rPr>
          <w:rFonts w:hint="eastAsia"/>
          <w:sz w:val="36"/>
          <w:szCs w:val="36"/>
        </w:rPr>
        <w:t>港上市</w:t>
      </w:r>
      <w:r w:rsidR="004518AC">
        <w:rPr>
          <w:rFonts w:hint="eastAsia"/>
          <w:sz w:val="36"/>
          <w:szCs w:val="36"/>
        </w:rPr>
        <w:t>，</w:t>
      </w:r>
      <w:proofErr w:type="gramStart"/>
      <w:r w:rsidR="004518AC">
        <w:rPr>
          <w:rFonts w:hint="eastAsia"/>
          <w:sz w:val="36"/>
          <w:szCs w:val="36"/>
        </w:rPr>
        <w:t>对中概互联</w:t>
      </w:r>
      <w:proofErr w:type="gramEnd"/>
      <w:r w:rsidR="004518AC">
        <w:rPr>
          <w:rFonts w:hint="eastAsia"/>
          <w:sz w:val="36"/>
          <w:szCs w:val="36"/>
        </w:rPr>
        <w:t>基金有何影响</w:t>
      </w:r>
    </w:p>
    <w:p w:rsidR="0009443A" w:rsidRPr="0009443A" w:rsidRDefault="0009443A" w:rsidP="005F29A5">
      <w:pPr>
        <w:jc w:val="center"/>
        <w:rPr>
          <w:rFonts w:ascii="楷体" w:eastAsia="楷体" w:hAnsi="楷体"/>
          <w:b/>
          <w:sz w:val="24"/>
          <w:szCs w:val="24"/>
        </w:rPr>
      </w:pPr>
      <w:proofErr w:type="gramStart"/>
      <w:r>
        <w:rPr>
          <w:rFonts w:ascii="楷体" w:eastAsia="楷体" w:hAnsi="楷体" w:hint="eastAsia"/>
          <w:b/>
          <w:sz w:val="24"/>
          <w:szCs w:val="24"/>
        </w:rPr>
        <w:t>微信</w:t>
      </w:r>
      <w:r w:rsidRPr="0009443A">
        <w:rPr>
          <w:rFonts w:ascii="楷体" w:eastAsia="楷体" w:hAnsi="楷体" w:hint="eastAsia"/>
          <w:b/>
          <w:sz w:val="24"/>
          <w:szCs w:val="24"/>
        </w:rPr>
        <w:t>公众号</w:t>
      </w:r>
      <w:proofErr w:type="gramEnd"/>
      <w:r w:rsidRPr="0009443A">
        <w:rPr>
          <w:rFonts w:ascii="楷体" w:eastAsia="楷体" w:hAnsi="楷体" w:hint="eastAsia"/>
          <w:b/>
          <w:sz w:val="24"/>
          <w:szCs w:val="24"/>
        </w:rPr>
        <w:t>：二师父定投，</w:t>
      </w:r>
      <w:proofErr w:type="spellStart"/>
      <w:r w:rsidRPr="0009443A">
        <w:rPr>
          <w:rFonts w:ascii="楷体" w:eastAsia="楷体" w:hAnsi="楷体" w:hint="eastAsia"/>
          <w:b/>
          <w:sz w:val="24"/>
          <w:szCs w:val="24"/>
        </w:rPr>
        <w:t>ID:</w:t>
      </w:r>
      <w:proofErr w:type="gramStart"/>
      <w:r w:rsidRPr="0009443A">
        <w:rPr>
          <w:rFonts w:ascii="楷体" w:eastAsia="楷体" w:hAnsi="楷体" w:hint="eastAsia"/>
          <w:b/>
          <w:sz w:val="24"/>
          <w:szCs w:val="24"/>
        </w:rPr>
        <w:t>ershifudt</w:t>
      </w:r>
      <w:proofErr w:type="spellEnd"/>
      <w:proofErr w:type="gramEnd"/>
    </w:p>
    <w:p w:rsidR="00B37268" w:rsidRPr="0009443A" w:rsidRDefault="007B7714" w:rsidP="005F29A5">
      <w:pPr>
        <w:spacing w:line="56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阿里巴巴</w:t>
      </w:r>
      <w:r w:rsidR="00CE0550">
        <w:rPr>
          <w:rFonts w:ascii="仿宋" w:eastAsia="仿宋" w:hAnsi="仿宋" w:hint="eastAsia"/>
          <w:sz w:val="24"/>
          <w:szCs w:val="24"/>
        </w:rPr>
        <w:t>于本月回港上市，</w:t>
      </w:r>
      <w:proofErr w:type="gramStart"/>
      <w:r w:rsidR="00CE0550">
        <w:rPr>
          <w:rFonts w:ascii="仿宋" w:eastAsia="仿宋" w:hAnsi="仿宋" w:hint="eastAsia"/>
          <w:sz w:val="24"/>
          <w:szCs w:val="24"/>
        </w:rPr>
        <w:t>作为中概互联</w:t>
      </w:r>
      <w:proofErr w:type="gramEnd"/>
      <w:r w:rsidR="00CE0550">
        <w:rPr>
          <w:rFonts w:ascii="仿宋" w:eastAsia="仿宋" w:hAnsi="仿宋" w:hint="eastAsia"/>
          <w:sz w:val="24"/>
          <w:szCs w:val="24"/>
        </w:rPr>
        <w:t>基金的第一大重仓股，阿里的回归</w:t>
      </w:r>
      <w:proofErr w:type="gramStart"/>
      <w:r w:rsidR="00CE0550">
        <w:rPr>
          <w:rFonts w:ascii="仿宋" w:eastAsia="仿宋" w:hAnsi="仿宋" w:hint="eastAsia"/>
          <w:sz w:val="24"/>
          <w:szCs w:val="24"/>
        </w:rPr>
        <w:t>对中概互联</w:t>
      </w:r>
      <w:proofErr w:type="gramEnd"/>
      <w:r w:rsidR="00CE0550">
        <w:rPr>
          <w:rFonts w:ascii="仿宋" w:eastAsia="仿宋" w:hAnsi="仿宋" w:hint="eastAsia"/>
          <w:sz w:val="24"/>
          <w:szCs w:val="24"/>
        </w:rPr>
        <w:t>基金有何影响呢？</w:t>
      </w:r>
    </w:p>
    <w:p w:rsidR="00BC7041" w:rsidRPr="0009443A" w:rsidRDefault="00BC7041" w:rsidP="005F29A5">
      <w:pPr>
        <w:spacing w:line="560" w:lineRule="exact"/>
        <w:rPr>
          <w:rFonts w:ascii="仿宋" w:eastAsia="仿宋" w:hAnsi="仿宋"/>
          <w:sz w:val="24"/>
          <w:szCs w:val="24"/>
        </w:rPr>
      </w:pPr>
    </w:p>
    <w:p w:rsidR="00BC7041" w:rsidRDefault="00CE0550" w:rsidP="005F29A5">
      <w:pPr>
        <w:spacing w:line="560" w:lineRule="exact"/>
        <w:rPr>
          <w:rFonts w:ascii="仿宋" w:eastAsia="仿宋" w:hAnsi="仿宋" w:hint="eastAsia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中概互联</w:t>
      </w:r>
      <w:proofErr w:type="gramEnd"/>
      <w:r>
        <w:rPr>
          <w:rFonts w:ascii="仿宋" w:eastAsia="仿宋" w:hAnsi="仿宋" w:hint="eastAsia"/>
          <w:sz w:val="24"/>
          <w:szCs w:val="24"/>
        </w:rPr>
        <w:t>基金是复制中国互联网50指数的QDII指数基金</w:t>
      </w:r>
      <w:r w:rsidR="00C50153">
        <w:rPr>
          <w:rFonts w:ascii="仿宋" w:eastAsia="仿宋" w:hAnsi="仿宋" w:hint="eastAsia"/>
          <w:sz w:val="24"/>
          <w:szCs w:val="24"/>
        </w:rPr>
        <w:t>，中证互联网50指数选取的是海外交易所上市的50家中国互联网企业作为样本股。我们一起看看他的十大重仓股票。</w:t>
      </w:r>
    </w:p>
    <w:p w:rsidR="00BC7041" w:rsidRPr="0009443A" w:rsidRDefault="00BC7041" w:rsidP="005F29A5">
      <w:pPr>
        <w:spacing w:line="560" w:lineRule="exact"/>
        <w:rPr>
          <w:rFonts w:ascii="仿宋" w:eastAsia="仿宋" w:hAnsi="仿宋"/>
          <w:sz w:val="24"/>
          <w:szCs w:val="24"/>
        </w:rPr>
      </w:pPr>
    </w:p>
    <w:tbl>
      <w:tblPr>
        <w:tblStyle w:val="a8"/>
        <w:tblW w:w="8755" w:type="dxa"/>
        <w:tblLook w:val="04A0" w:firstRow="1" w:lastRow="0" w:firstColumn="1" w:lastColumn="0" w:noHBand="0" w:noVBand="1"/>
      </w:tblPr>
      <w:tblGrid>
        <w:gridCol w:w="817"/>
        <w:gridCol w:w="3686"/>
        <w:gridCol w:w="2835"/>
        <w:gridCol w:w="1417"/>
      </w:tblGrid>
      <w:tr w:rsidR="00C8756A" w:rsidRPr="0009443A" w:rsidTr="00C8756A">
        <w:tc>
          <w:tcPr>
            <w:tcW w:w="817" w:type="dxa"/>
          </w:tcPr>
          <w:p w:rsidR="00C8756A" w:rsidRPr="0009443A" w:rsidRDefault="00C8756A" w:rsidP="00C8756A">
            <w:pPr>
              <w:spacing w:line="5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09443A">
              <w:rPr>
                <w:rFonts w:ascii="仿宋" w:eastAsia="仿宋" w:hAnsi="仿宋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686" w:type="dxa"/>
          </w:tcPr>
          <w:p w:rsidR="00C8756A" w:rsidRPr="0009443A" w:rsidRDefault="00C8756A" w:rsidP="00C8756A">
            <w:pPr>
              <w:spacing w:line="5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09443A">
              <w:rPr>
                <w:rFonts w:ascii="仿宋" w:eastAsia="仿宋" w:hAnsi="仿宋" w:hint="eastAsia"/>
                <w:b/>
                <w:sz w:val="24"/>
                <w:szCs w:val="24"/>
              </w:rPr>
              <w:t>持仓股票名称</w:t>
            </w:r>
          </w:p>
        </w:tc>
        <w:tc>
          <w:tcPr>
            <w:tcW w:w="2835" w:type="dxa"/>
          </w:tcPr>
          <w:p w:rsidR="00C8756A" w:rsidRPr="0009443A" w:rsidRDefault="00C8756A" w:rsidP="00C8756A">
            <w:pPr>
              <w:spacing w:line="5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09443A">
              <w:rPr>
                <w:rFonts w:ascii="仿宋" w:eastAsia="仿宋" w:hAnsi="仿宋" w:hint="eastAsia"/>
                <w:b/>
                <w:sz w:val="24"/>
                <w:szCs w:val="24"/>
              </w:rPr>
              <w:t>上市地点</w:t>
            </w:r>
          </w:p>
        </w:tc>
        <w:tc>
          <w:tcPr>
            <w:tcW w:w="1417" w:type="dxa"/>
          </w:tcPr>
          <w:p w:rsidR="00C8756A" w:rsidRPr="0009443A" w:rsidRDefault="00C8756A" w:rsidP="00C8756A">
            <w:pPr>
              <w:spacing w:line="5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09443A">
              <w:rPr>
                <w:rFonts w:ascii="仿宋" w:eastAsia="仿宋" w:hAnsi="仿宋" w:hint="eastAsia"/>
                <w:b/>
                <w:sz w:val="24"/>
                <w:szCs w:val="24"/>
              </w:rPr>
              <w:t>持仓比例</w:t>
            </w:r>
          </w:p>
        </w:tc>
      </w:tr>
      <w:tr w:rsidR="00C8756A" w:rsidRPr="0009443A" w:rsidTr="00C8756A">
        <w:tc>
          <w:tcPr>
            <w:tcW w:w="817" w:type="dxa"/>
          </w:tcPr>
          <w:p w:rsidR="00C8756A" w:rsidRPr="0009443A" w:rsidRDefault="00C8756A" w:rsidP="00C8756A">
            <w:pPr>
              <w:spacing w:line="5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09443A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:rsidR="00C8756A" w:rsidRPr="0009443A" w:rsidRDefault="00C50153" w:rsidP="00C8756A">
            <w:pPr>
              <w:spacing w:line="5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09443A">
              <w:rPr>
                <w:rFonts w:ascii="仿宋" w:eastAsia="仿宋" w:hAnsi="仿宋" w:hint="eastAsia"/>
                <w:sz w:val="24"/>
                <w:szCs w:val="24"/>
              </w:rPr>
              <w:t>阿里巴巴集团控股有限公司</w:t>
            </w:r>
          </w:p>
        </w:tc>
        <w:tc>
          <w:tcPr>
            <w:tcW w:w="2835" w:type="dxa"/>
          </w:tcPr>
          <w:p w:rsidR="00C8756A" w:rsidRPr="0009443A" w:rsidRDefault="00C50153" w:rsidP="00C8756A">
            <w:pPr>
              <w:spacing w:line="5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09443A">
              <w:rPr>
                <w:rFonts w:ascii="仿宋" w:eastAsia="仿宋" w:hAnsi="仿宋" w:hint="eastAsia"/>
                <w:sz w:val="24"/>
                <w:szCs w:val="24"/>
              </w:rPr>
              <w:t>纽约证券交易所</w:t>
            </w:r>
          </w:p>
        </w:tc>
        <w:tc>
          <w:tcPr>
            <w:tcW w:w="1417" w:type="dxa"/>
          </w:tcPr>
          <w:p w:rsidR="00C8756A" w:rsidRPr="0009443A" w:rsidRDefault="00C50153" w:rsidP="00C8756A">
            <w:pPr>
              <w:spacing w:line="5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31.76</w:t>
            </w:r>
            <w:r w:rsidR="00C8756A" w:rsidRPr="0009443A">
              <w:rPr>
                <w:rFonts w:ascii="仿宋" w:eastAsia="仿宋" w:hAnsi="仿宋" w:hint="eastAsia"/>
                <w:sz w:val="24"/>
                <w:szCs w:val="24"/>
              </w:rPr>
              <w:t>%</w:t>
            </w:r>
          </w:p>
        </w:tc>
      </w:tr>
      <w:tr w:rsidR="00C8756A" w:rsidRPr="0009443A" w:rsidTr="00C8756A">
        <w:tc>
          <w:tcPr>
            <w:tcW w:w="817" w:type="dxa"/>
          </w:tcPr>
          <w:p w:rsidR="00C8756A" w:rsidRPr="0009443A" w:rsidRDefault="00C8756A" w:rsidP="00C8756A">
            <w:pPr>
              <w:spacing w:line="5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09443A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:rsidR="00C8756A" w:rsidRPr="0009443A" w:rsidRDefault="00C50153" w:rsidP="00C8756A">
            <w:pPr>
              <w:spacing w:line="5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腾讯控股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有限公司</w:t>
            </w:r>
          </w:p>
        </w:tc>
        <w:tc>
          <w:tcPr>
            <w:tcW w:w="2835" w:type="dxa"/>
          </w:tcPr>
          <w:p w:rsidR="00C8756A" w:rsidRPr="0009443A" w:rsidRDefault="00C50153" w:rsidP="00C8756A">
            <w:pPr>
              <w:spacing w:line="5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香港证券交易所</w:t>
            </w:r>
          </w:p>
        </w:tc>
        <w:tc>
          <w:tcPr>
            <w:tcW w:w="1417" w:type="dxa"/>
          </w:tcPr>
          <w:p w:rsidR="00C8756A" w:rsidRPr="0009443A" w:rsidRDefault="00C50153" w:rsidP="00C8756A">
            <w:pPr>
              <w:spacing w:line="5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25.94</w:t>
            </w:r>
            <w:r w:rsidR="00C8756A" w:rsidRPr="0009443A">
              <w:rPr>
                <w:rFonts w:ascii="仿宋" w:eastAsia="仿宋" w:hAnsi="仿宋" w:hint="eastAsia"/>
                <w:sz w:val="24"/>
                <w:szCs w:val="24"/>
              </w:rPr>
              <w:t>%</w:t>
            </w:r>
          </w:p>
        </w:tc>
      </w:tr>
      <w:tr w:rsidR="00C8756A" w:rsidRPr="0009443A" w:rsidTr="00C8756A">
        <w:tc>
          <w:tcPr>
            <w:tcW w:w="817" w:type="dxa"/>
          </w:tcPr>
          <w:p w:rsidR="00C8756A" w:rsidRPr="0009443A" w:rsidRDefault="00C8756A" w:rsidP="00C8756A">
            <w:pPr>
              <w:spacing w:line="5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09443A">
              <w:rPr>
                <w:rFonts w:ascii="仿宋" w:eastAsia="仿宋" w:hAnsi="仿宋" w:hint="eastAsia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:rsidR="00C8756A" w:rsidRPr="0009443A" w:rsidRDefault="00C50153" w:rsidP="00C8756A">
            <w:pPr>
              <w:spacing w:line="5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09443A">
              <w:rPr>
                <w:rFonts w:ascii="仿宋" w:eastAsia="仿宋" w:hAnsi="仿宋" w:hint="eastAsia"/>
                <w:sz w:val="24"/>
                <w:szCs w:val="24"/>
              </w:rPr>
              <w:t>百度股份有限公司</w:t>
            </w:r>
          </w:p>
        </w:tc>
        <w:tc>
          <w:tcPr>
            <w:tcW w:w="2835" w:type="dxa"/>
          </w:tcPr>
          <w:p w:rsidR="00C8756A" w:rsidRPr="0009443A" w:rsidRDefault="00C50153" w:rsidP="00C8756A">
            <w:pPr>
              <w:spacing w:line="5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09443A">
              <w:rPr>
                <w:rFonts w:ascii="仿宋" w:eastAsia="仿宋" w:hAnsi="仿宋" w:hint="eastAsia"/>
                <w:sz w:val="24"/>
                <w:szCs w:val="24"/>
              </w:rPr>
              <w:t>纳斯达克证券交易所</w:t>
            </w:r>
          </w:p>
        </w:tc>
        <w:tc>
          <w:tcPr>
            <w:tcW w:w="1417" w:type="dxa"/>
          </w:tcPr>
          <w:p w:rsidR="00C8756A" w:rsidRPr="0009443A" w:rsidRDefault="00C50153" w:rsidP="00C8756A">
            <w:pPr>
              <w:spacing w:line="5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6.71</w:t>
            </w:r>
            <w:r w:rsidR="00C8756A" w:rsidRPr="0009443A">
              <w:rPr>
                <w:rFonts w:ascii="仿宋" w:eastAsia="仿宋" w:hAnsi="仿宋" w:hint="eastAsia"/>
                <w:sz w:val="24"/>
                <w:szCs w:val="24"/>
              </w:rPr>
              <w:t>%</w:t>
            </w:r>
          </w:p>
        </w:tc>
      </w:tr>
      <w:tr w:rsidR="00C50153" w:rsidRPr="0009443A" w:rsidTr="00C8756A">
        <w:tc>
          <w:tcPr>
            <w:tcW w:w="817" w:type="dxa"/>
          </w:tcPr>
          <w:p w:rsidR="00C50153" w:rsidRPr="0009443A" w:rsidRDefault="00C50153" w:rsidP="00C8756A">
            <w:pPr>
              <w:spacing w:line="560" w:lineRule="exact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p w:rsidR="00C50153" w:rsidRPr="0009443A" w:rsidRDefault="00C50153" w:rsidP="00C8756A">
            <w:pPr>
              <w:spacing w:line="560" w:lineRule="exact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美团点评</w:t>
            </w:r>
            <w:proofErr w:type="gramEnd"/>
          </w:p>
        </w:tc>
        <w:tc>
          <w:tcPr>
            <w:tcW w:w="2835" w:type="dxa"/>
          </w:tcPr>
          <w:p w:rsidR="00C50153" w:rsidRPr="0009443A" w:rsidRDefault="00C50153" w:rsidP="00C8756A">
            <w:pPr>
              <w:spacing w:line="560" w:lineRule="exact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香港证券交易所</w:t>
            </w:r>
          </w:p>
        </w:tc>
        <w:tc>
          <w:tcPr>
            <w:tcW w:w="1417" w:type="dxa"/>
          </w:tcPr>
          <w:p w:rsidR="00C50153" w:rsidRPr="0009443A" w:rsidRDefault="00C50153" w:rsidP="00C8756A">
            <w:pPr>
              <w:spacing w:line="560" w:lineRule="exact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6.7%</w:t>
            </w:r>
          </w:p>
        </w:tc>
      </w:tr>
      <w:tr w:rsidR="00C50153" w:rsidRPr="0009443A" w:rsidTr="00C8756A">
        <w:tc>
          <w:tcPr>
            <w:tcW w:w="817" w:type="dxa"/>
          </w:tcPr>
          <w:p w:rsidR="00C50153" w:rsidRPr="0009443A" w:rsidRDefault="00C50153" w:rsidP="00C8756A">
            <w:pPr>
              <w:spacing w:line="560" w:lineRule="exact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</w:t>
            </w:r>
          </w:p>
        </w:tc>
        <w:tc>
          <w:tcPr>
            <w:tcW w:w="3686" w:type="dxa"/>
          </w:tcPr>
          <w:p w:rsidR="00C50153" w:rsidRPr="0009443A" w:rsidRDefault="00C50153" w:rsidP="00C8756A">
            <w:pPr>
              <w:spacing w:line="560" w:lineRule="exact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09443A">
              <w:rPr>
                <w:rFonts w:ascii="仿宋" w:eastAsia="仿宋" w:hAnsi="仿宋" w:hint="eastAsia"/>
                <w:sz w:val="24"/>
                <w:szCs w:val="24"/>
              </w:rPr>
              <w:t>京东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商城</w:t>
            </w:r>
          </w:p>
        </w:tc>
        <w:tc>
          <w:tcPr>
            <w:tcW w:w="2835" w:type="dxa"/>
          </w:tcPr>
          <w:p w:rsidR="00C50153" w:rsidRPr="0009443A" w:rsidRDefault="00C50153" w:rsidP="00C8756A">
            <w:pPr>
              <w:spacing w:line="560" w:lineRule="exact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09443A">
              <w:rPr>
                <w:rFonts w:ascii="仿宋" w:eastAsia="仿宋" w:hAnsi="仿宋" w:hint="eastAsia"/>
                <w:sz w:val="24"/>
                <w:szCs w:val="24"/>
              </w:rPr>
              <w:t>纳斯达克证券交易所</w:t>
            </w:r>
          </w:p>
        </w:tc>
        <w:tc>
          <w:tcPr>
            <w:tcW w:w="1417" w:type="dxa"/>
          </w:tcPr>
          <w:p w:rsidR="00C50153" w:rsidRPr="0009443A" w:rsidRDefault="00C50153" w:rsidP="00C8756A">
            <w:pPr>
              <w:spacing w:line="560" w:lineRule="exact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4.75%</w:t>
            </w:r>
          </w:p>
        </w:tc>
      </w:tr>
      <w:tr w:rsidR="00C8756A" w:rsidRPr="0009443A" w:rsidTr="00C8756A">
        <w:tc>
          <w:tcPr>
            <w:tcW w:w="817" w:type="dxa"/>
          </w:tcPr>
          <w:p w:rsidR="00C8756A" w:rsidRPr="0009443A" w:rsidRDefault="006A781A" w:rsidP="00C8756A">
            <w:pPr>
              <w:spacing w:line="5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6</w:t>
            </w:r>
          </w:p>
        </w:tc>
        <w:tc>
          <w:tcPr>
            <w:tcW w:w="3686" w:type="dxa"/>
          </w:tcPr>
          <w:p w:rsidR="00C8756A" w:rsidRPr="0009443A" w:rsidRDefault="00C8756A" w:rsidP="00C8756A">
            <w:pPr>
              <w:spacing w:line="5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09443A">
              <w:rPr>
                <w:rFonts w:ascii="仿宋" w:eastAsia="仿宋" w:hAnsi="仿宋" w:hint="eastAsia"/>
                <w:sz w:val="24"/>
                <w:szCs w:val="24"/>
              </w:rPr>
              <w:t>网易公司</w:t>
            </w:r>
          </w:p>
        </w:tc>
        <w:tc>
          <w:tcPr>
            <w:tcW w:w="2835" w:type="dxa"/>
          </w:tcPr>
          <w:p w:rsidR="00C8756A" w:rsidRPr="0009443A" w:rsidRDefault="00C8756A" w:rsidP="00C8756A">
            <w:pPr>
              <w:spacing w:line="5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09443A">
              <w:rPr>
                <w:rFonts w:ascii="仿宋" w:eastAsia="仿宋" w:hAnsi="仿宋" w:hint="eastAsia"/>
                <w:sz w:val="24"/>
                <w:szCs w:val="24"/>
              </w:rPr>
              <w:t>纳斯达克证券交易所</w:t>
            </w:r>
          </w:p>
        </w:tc>
        <w:tc>
          <w:tcPr>
            <w:tcW w:w="1417" w:type="dxa"/>
          </w:tcPr>
          <w:p w:rsidR="00C8756A" w:rsidRPr="0009443A" w:rsidRDefault="00C50153" w:rsidP="00C8756A">
            <w:pPr>
              <w:spacing w:line="5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3.61</w:t>
            </w:r>
            <w:r w:rsidR="00C8756A" w:rsidRPr="0009443A">
              <w:rPr>
                <w:rFonts w:ascii="仿宋" w:eastAsia="仿宋" w:hAnsi="仿宋" w:hint="eastAsia"/>
                <w:sz w:val="24"/>
                <w:szCs w:val="24"/>
              </w:rPr>
              <w:t>%</w:t>
            </w:r>
          </w:p>
        </w:tc>
      </w:tr>
      <w:tr w:rsidR="00C8756A" w:rsidRPr="0009443A" w:rsidTr="00C8756A">
        <w:tc>
          <w:tcPr>
            <w:tcW w:w="817" w:type="dxa"/>
          </w:tcPr>
          <w:p w:rsidR="00C8756A" w:rsidRPr="0009443A" w:rsidRDefault="006A781A" w:rsidP="00C8756A">
            <w:pPr>
              <w:spacing w:line="5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7</w:t>
            </w:r>
          </w:p>
        </w:tc>
        <w:tc>
          <w:tcPr>
            <w:tcW w:w="3686" w:type="dxa"/>
          </w:tcPr>
          <w:p w:rsidR="00C8756A" w:rsidRPr="0009443A" w:rsidRDefault="006A781A" w:rsidP="00C8756A">
            <w:pPr>
              <w:spacing w:line="5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好未来</w:t>
            </w:r>
          </w:p>
        </w:tc>
        <w:tc>
          <w:tcPr>
            <w:tcW w:w="2835" w:type="dxa"/>
          </w:tcPr>
          <w:p w:rsidR="00C8756A" w:rsidRPr="0009443A" w:rsidRDefault="006A781A" w:rsidP="00C8756A">
            <w:pPr>
              <w:spacing w:line="5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纽约证券交易所</w:t>
            </w:r>
          </w:p>
        </w:tc>
        <w:tc>
          <w:tcPr>
            <w:tcW w:w="1417" w:type="dxa"/>
          </w:tcPr>
          <w:p w:rsidR="00C8756A" w:rsidRPr="0009443A" w:rsidRDefault="006A781A" w:rsidP="00C8756A">
            <w:pPr>
              <w:spacing w:line="5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3.39</w:t>
            </w:r>
            <w:r w:rsidR="00C8756A" w:rsidRPr="0009443A">
              <w:rPr>
                <w:rFonts w:ascii="仿宋" w:eastAsia="仿宋" w:hAnsi="仿宋" w:hint="eastAsia"/>
                <w:sz w:val="24"/>
                <w:szCs w:val="24"/>
              </w:rPr>
              <w:t>%</w:t>
            </w:r>
          </w:p>
        </w:tc>
      </w:tr>
      <w:tr w:rsidR="00C8756A" w:rsidRPr="0009443A" w:rsidTr="00C8756A">
        <w:tc>
          <w:tcPr>
            <w:tcW w:w="817" w:type="dxa"/>
          </w:tcPr>
          <w:p w:rsidR="00C8756A" w:rsidRPr="0009443A" w:rsidRDefault="006A781A" w:rsidP="00C8756A">
            <w:pPr>
              <w:spacing w:line="5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8</w:t>
            </w:r>
          </w:p>
        </w:tc>
        <w:tc>
          <w:tcPr>
            <w:tcW w:w="3686" w:type="dxa"/>
          </w:tcPr>
          <w:p w:rsidR="00C8756A" w:rsidRPr="0009443A" w:rsidRDefault="006A781A" w:rsidP="00C8756A">
            <w:pPr>
              <w:spacing w:line="5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拼多多</w:t>
            </w:r>
          </w:p>
        </w:tc>
        <w:tc>
          <w:tcPr>
            <w:tcW w:w="2835" w:type="dxa"/>
          </w:tcPr>
          <w:p w:rsidR="00C8756A" w:rsidRPr="0009443A" w:rsidRDefault="006A781A" w:rsidP="00C8756A">
            <w:pPr>
              <w:spacing w:line="5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09443A">
              <w:rPr>
                <w:rFonts w:ascii="仿宋" w:eastAsia="仿宋" w:hAnsi="仿宋" w:hint="eastAsia"/>
                <w:sz w:val="24"/>
                <w:szCs w:val="24"/>
              </w:rPr>
              <w:t>纳斯达克证券交易所</w:t>
            </w:r>
          </w:p>
        </w:tc>
        <w:tc>
          <w:tcPr>
            <w:tcW w:w="1417" w:type="dxa"/>
          </w:tcPr>
          <w:p w:rsidR="00C8756A" w:rsidRPr="0009443A" w:rsidRDefault="006A781A" w:rsidP="00C8756A">
            <w:pPr>
              <w:spacing w:line="5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3.12</w:t>
            </w:r>
            <w:r w:rsidR="00C8756A" w:rsidRPr="0009443A">
              <w:rPr>
                <w:rFonts w:ascii="仿宋" w:eastAsia="仿宋" w:hAnsi="仿宋" w:hint="eastAsia"/>
                <w:sz w:val="24"/>
                <w:szCs w:val="24"/>
              </w:rPr>
              <w:t>%</w:t>
            </w:r>
          </w:p>
        </w:tc>
      </w:tr>
      <w:tr w:rsidR="00C8756A" w:rsidRPr="0009443A" w:rsidTr="00C8756A">
        <w:tc>
          <w:tcPr>
            <w:tcW w:w="817" w:type="dxa"/>
          </w:tcPr>
          <w:p w:rsidR="00C8756A" w:rsidRPr="0009443A" w:rsidRDefault="006A781A" w:rsidP="00C8756A">
            <w:pPr>
              <w:spacing w:line="5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9</w:t>
            </w:r>
          </w:p>
        </w:tc>
        <w:tc>
          <w:tcPr>
            <w:tcW w:w="3686" w:type="dxa"/>
          </w:tcPr>
          <w:p w:rsidR="00C8756A" w:rsidRPr="0009443A" w:rsidRDefault="006A781A" w:rsidP="00C8756A">
            <w:pPr>
              <w:spacing w:line="5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携程网</w:t>
            </w:r>
            <w:proofErr w:type="gramEnd"/>
          </w:p>
        </w:tc>
        <w:tc>
          <w:tcPr>
            <w:tcW w:w="2835" w:type="dxa"/>
          </w:tcPr>
          <w:p w:rsidR="00C8756A" w:rsidRPr="0009443A" w:rsidRDefault="006A781A" w:rsidP="00C8756A">
            <w:pPr>
              <w:spacing w:line="5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09443A">
              <w:rPr>
                <w:rFonts w:ascii="仿宋" w:eastAsia="仿宋" w:hAnsi="仿宋" w:hint="eastAsia"/>
                <w:sz w:val="24"/>
                <w:szCs w:val="24"/>
              </w:rPr>
              <w:t>纳斯达克证券交易所</w:t>
            </w:r>
          </w:p>
        </w:tc>
        <w:tc>
          <w:tcPr>
            <w:tcW w:w="1417" w:type="dxa"/>
          </w:tcPr>
          <w:p w:rsidR="00C8756A" w:rsidRPr="0009443A" w:rsidRDefault="006A781A" w:rsidP="00C8756A">
            <w:pPr>
              <w:spacing w:line="5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2.25</w:t>
            </w:r>
            <w:r w:rsidR="00C8756A" w:rsidRPr="0009443A">
              <w:rPr>
                <w:rFonts w:ascii="仿宋" w:eastAsia="仿宋" w:hAnsi="仿宋" w:hint="eastAsia"/>
                <w:sz w:val="24"/>
                <w:szCs w:val="24"/>
              </w:rPr>
              <w:t>%</w:t>
            </w:r>
          </w:p>
        </w:tc>
      </w:tr>
      <w:tr w:rsidR="00C8756A" w:rsidRPr="0009443A" w:rsidTr="00C8756A">
        <w:tc>
          <w:tcPr>
            <w:tcW w:w="817" w:type="dxa"/>
          </w:tcPr>
          <w:p w:rsidR="00C8756A" w:rsidRPr="0009443A" w:rsidRDefault="006A781A" w:rsidP="00C8756A">
            <w:pPr>
              <w:spacing w:line="5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10</w:t>
            </w:r>
          </w:p>
        </w:tc>
        <w:tc>
          <w:tcPr>
            <w:tcW w:w="3686" w:type="dxa"/>
          </w:tcPr>
          <w:p w:rsidR="00C8756A" w:rsidRPr="0009443A" w:rsidRDefault="006A781A" w:rsidP="00C8756A">
            <w:pPr>
              <w:spacing w:line="5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腾讯音乐</w:t>
            </w:r>
            <w:proofErr w:type="gramEnd"/>
          </w:p>
        </w:tc>
        <w:tc>
          <w:tcPr>
            <w:tcW w:w="2835" w:type="dxa"/>
          </w:tcPr>
          <w:p w:rsidR="00C8756A" w:rsidRPr="0009443A" w:rsidRDefault="006A781A" w:rsidP="00C8756A">
            <w:pPr>
              <w:spacing w:line="5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纽约证券交易所</w:t>
            </w:r>
          </w:p>
        </w:tc>
        <w:tc>
          <w:tcPr>
            <w:tcW w:w="1417" w:type="dxa"/>
          </w:tcPr>
          <w:p w:rsidR="00C8756A" w:rsidRPr="0009443A" w:rsidRDefault="006A781A" w:rsidP="00C8756A">
            <w:pPr>
              <w:spacing w:line="5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1.34</w:t>
            </w:r>
            <w:r w:rsidR="00CB56A2" w:rsidRPr="0009443A">
              <w:rPr>
                <w:rFonts w:ascii="仿宋" w:eastAsia="仿宋" w:hAnsi="仿宋" w:hint="eastAsia"/>
                <w:sz w:val="24"/>
                <w:szCs w:val="24"/>
              </w:rPr>
              <w:t>%</w:t>
            </w:r>
          </w:p>
        </w:tc>
      </w:tr>
    </w:tbl>
    <w:p w:rsidR="006A781A" w:rsidRDefault="006A781A" w:rsidP="005F29A5">
      <w:pPr>
        <w:spacing w:line="56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前十大重仓股比之前发生了很大变化，一是重仓股票的变化，二是重仓股票比例的变化。</w:t>
      </w:r>
    </w:p>
    <w:p w:rsidR="006A781A" w:rsidRDefault="006A781A" w:rsidP="005F29A5">
      <w:pPr>
        <w:spacing w:line="560" w:lineRule="exact"/>
        <w:rPr>
          <w:rFonts w:ascii="仿宋" w:eastAsia="仿宋" w:hAnsi="仿宋" w:hint="eastAsia"/>
          <w:sz w:val="24"/>
          <w:szCs w:val="24"/>
        </w:rPr>
      </w:pPr>
    </w:p>
    <w:p w:rsidR="006A781A" w:rsidRDefault="006A781A" w:rsidP="005F29A5">
      <w:pPr>
        <w:spacing w:line="56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在2017年第一季度，前十大重仓股票</w:t>
      </w:r>
      <w:r w:rsidR="003D6557">
        <w:rPr>
          <w:rFonts w:ascii="仿宋" w:eastAsia="仿宋" w:hAnsi="仿宋" w:hint="eastAsia"/>
          <w:sz w:val="24"/>
          <w:szCs w:val="24"/>
        </w:rPr>
        <w:t>没有美团、拼多多、</w:t>
      </w:r>
      <w:proofErr w:type="gramStart"/>
      <w:r w:rsidR="003D6557">
        <w:rPr>
          <w:rFonts w:ascii="仿宋" w:eastAsia="仿宋" w:hAnsi="仿宋" w:hint="eastAsia"/>
          <w:sz w:val="24"/>
          <w:szCs w:val="24"/>
        </w:rPr>
        <w:t>携程网和腾讯</w:t>
      </w:r>
      <w:proofErr w:type="gramEnd"/>
      <w:r w:rsidR="003D6557">
        <w:rPr>
          <w:rFonts w:ascii="仿宋" w:eastAsia="仿宋" w:hAnsi="仿宋" w:hint="eastAsia"/>
          <w:sz w:val="24"/>
          <w:szCs w:val="24"/>
        </w:rPr>
        <w:t>音乐。</w:t>
      </w:r>
      <w:r w:rsidR="002650E0">
        <w:rPr>
          <w:rFonts w:ascii="仿宋" w:eastAsia="仿宋" w:hAnsi="仿宋" w:hint="eastAsia"/>
          <w:sz w:val="24"/>
          <w:szCs w:val="24"/>
        </w:rPr>
        <w:t>这四只股票是</w:t>
      </w:r>
      <w:r w:rsidR="003D6557">
        <w:rPr>
          <w:rFonts w:ascii="仿宋" w:eastAsia="仿宋" w:hAnsi="仿宋" w:hint="eastAsia"/>
          <w:sz w:val="24"/>
          <w:szCs w:val="24"/>
        </w:rPr>
        <w:t>后来根据指数编制规则进入到前十排名的；另外在2017年第一季</w:t>
      </w:r>
      <w:r w:rsidR="003D6557">
        <w:rPr>
          <w:rFonts w:ascii="仿宋" w:eastAsia="仿宋" w:hAnsi="仿宋" w:hint="eastAsia"/>
          <w:sz w:val="24"/>
          <w:szCs w:val="24"/>
        </w:rPr>
        <w:lastRenderedPageBreak/>
        <w:t>度阿里巴巴</w:t>
      </w:r>
      <w:proofErr w:type="gramStart"/>
      <w:r w:rsidR="003D6557">
        <w:rPr>
          <w:rFonts w:ascii="仿宋" w:eastAsia="仿宋" w:hAnsi="仿宋" w:hint="eastAsia"/>
          <w:sz w:val="24"/>
          <w:szCs w:val="24"/>
        </w:rPr>
        <w:t>和腾讯控股</w:t>
      </w:r>
      <w:proofErr w:type="gramEnd"/>
      <w:r w:rsidR="003D6557">
        <w:rPr>
          <w:rFonts w:ascii="仿宋" w:eastAsia="仿宋" w:hAnsi="仿宋" w:hint="eastAsia"/>
          <w:sz w:val="24"/>
          <w:szCs w:val="24"/>
        </w:rPr>
        <w:t>的占比只有41%，经过3年的时间这两大重仓股票的比例上升到了56%</w:t>
      </w:r>
      <w:r w:rsidR="002F019E">
        <w:rPr>
          <w:rFonts w:ascii="仿宋" w:eastAsia="仿宋" w:hAnsi="仿宋" w:hint="eastAsia"/>
          <w:sz w:val="24"/>
          <w:szCs w:val="24"/>
        </w:rPr>
        <w:t>，而</w:t>
      </w:r>
      <w:r w:rsidR="003D6557">
        <w:rPr>
          <w:rFonts w:ascii="仿宋" w:eastAsia="仿宋" w:hAnsi="仿宋" w:hint="eastAsia"/>
          <w:sz w:val="24"/>
          <w:szCs w:val="24"/>
        </w:rPr>
        <w:t>百度因为这几年发展不好持仓比例由18.29%下降到6.7%。</w:t>
      </w:r>
    </w:p>
    <w:p w:rsidR="003D6557" w:rsidRDefault="003D6557" w:rsidP="005F29A5">
      <w:pPr>
        <w:spacing w:line="560" w:lineRule="exact"/>
        <w:rPr>
          <w:rFonts w:ascii="仿宋" w:eastAsia="仿宋" w:hAnsi="仿宋" w:hint="eastAsia"/>
          <w:sz w:val="24"/>
          <w:szCs w:val="24"/>
        </w:rPr>
      </w:pPr>
    </w:p>
    <w:p w:rsidR="006A781A" w:rsidRPr="002F019E" w:rsidRDefault="003D6557" w:rsidP="005F29A5">
      <w:pPr>
        <w:spacing w:line="560" w:lineRule="exact"/>
        <w:rPr>
          <w:rFonts w:ascii="仿宋" w:eastAsia="仿宋" w:hAnsi="仿宋" w:hint="eastAsia"/>
          <w:b/>
          <w:sz w:val="24"/>
          <w:szCs w:val="24"/>
        </w:rPr>
      </w:pPr>
      <w:r w:rsidRPr="002F019E">
        <w:rPr>
          <w:rFonts w:ascii="仿宋" w:eastAsia="仿宋" w:hAnsi="仿宋" w:hint="eastAsia"/>
          <w:b/>
          <w:sz w:val="24"/>
          <w:szCs w:val="24"/>
        </w:rPr>
        <w:t>从中概互联当前持仓可以明显看到：阿里</w:t>
      </w:r>
      <w:proofErr w:type="gramStart"/>
      <w:r w:rsidRPr="002F019E">
        <w:rPr>
          <w:rFonts w:ascii="仿宋" w:eastAsia="仿宋" w:hAnsi="仿宋" w:hint="eastAsia"/>
          <w:b/>
          <w:sz w:val="24"/>
          <w:szCs w:val="24"/>
        </w:rPr>
        <w:t>和腾讯两家</w:t>
      </w:r>
      <w:proofErr w:type="gramEnd"/>
      <w:r w:rsidRPr="002F019E">
        <w:rPr>
          <w:rFonts w:ascii="仿宋" w:eastAsia="仿宋" w:hAnsi="仿宋" w:hint="eastAsia"/>
          <w:b/>
          <w:sz w:val="24"/>
          <w:szCs w:val="24"/>
        </w:rPr>
        <w:t>互联网巨头正在争</w:t>
      </w:r>
      <w:r w:rsidR="002F019E">
        <w:rPr>
          <w:rFonts w:ascii="仿宋" w:eastAsia="仿宋" w:hAnsi="仿宋" w:hint="eastAsia"/>
          <w:b/>
          <w:sz w:val="24"/>
          <w:szCs w:val="24"/>
        </w:rPr>
        <w:t>坐</w:t>
      </w:r>
      <w:r w:rsidRPr="002F019E">
        <w:rPr>
          <w:rFonts w:ascii="仿宋" w:eastAsia="仿宋" w:hAnsi="仿宋" w:hint="eastAsia"/>
          <w:b/>
          <w:sz w:val="24"/>
          <w:szCs w:val="24"/>
        </w:rPr>
        <w:t>互联网的头把交椅，百度已经被远远地抛弃在后面。美团、好未来、拼多多作为</w:t>
      </w:r>
      <w:r w:rsidR="002F019E">
        <w:rPr>
          <w:rFonts w:ascii="仿宋" w:eastAsia="仿宋" w:hAnsi="仿宋" w:hint="eastAsia"/>
          <w:b/>
          <w:sz w:val="24"/>
          <w:szCs w:val="24"/>
        </w:rPr>
        <w:t>后起</w:t>
      </w:r>
      <w:r w:rsidRPr="002F019E">
        <w:rPr>
          <w:rFonts w:ascii="仿宋" w:eastAsia="仿宋" w:hAnsi="仿宋" w:hint="eastAsia"/>
          <w:b/>
          <w:sz w:val="24"/>
          <w:szCs w:val="24"/>
        </w:rPr>
        <w:t>之秀正在奋起直追。</w:t>
      </w:r>
    </w:p>
    <w:p w:rsidR="00272296" w:rsidRDefault="00272296" w:rsidP="005F29A5">
      <w:pPr>
        <w:spacing w:line="560" w:lineRule="exact"/>
        <w:rPr>
          <w:rFonts w:ascii="仿宋" w:eastAsia="仿宋" w:hAnsi="仿宋" w:hint="eastAsia"/>
          <w:sz w:val="24"/>
          <w:szCs w:val="24"/>
        </w:rPr>
      </w:pPr>
    </w:p>
    <w:p w:rsidR="00C84BD8" w:rsidRDefault="002F019E" w:rsidP="005F29A5">
      <w:pPr>
        <w:spacing w:line="560" w:lineRule="exact"/>
        <w:rPr>
          <w:rFonts w:ascii="仿宋" w:eastAsia="仿宋" w:hAnsi="仿宋" w:hint="eastAsia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中概互联</w:t>
      </w:r>
      <w:proofErr w:type="gramEnd"/>
      <w:r>
        <w:rPr>
          <w:rFonts w:ascii="仿宋" w:eastAsia="仿宋" w:hAnsi="仿宋" w:hint="eastAsia"/>
          <w:sz w:val="24"/>
          <w:szCs w:val="24"/>
        </w:rPr>
        <w:t>持有这么多优质的中国互联网企业，投资价值毋庸置疑</w:t>
      </w:r>
      <w:r w:rsidR="00435F2D">
        <w:rPr>
          <w:rFonts w:ascii="仿宋" w:eastAsia="仿宋" w:hAnsi="仿宋" w:hint="eastAsia"/>
          <w:sz w:val="24"/>
          <w:szCs w:val="24"/>
        </w:rPr>
        <w:t>。</w:t>
      </w:r>
      <w:r w:rsidR="00F03F88">
        <w:rPr>
          <w:rFonts w:ascii="仿宋" w:eastAsia="仿宋" w:hAnsi="仿宋" w:hint="eastAsia"/>
          <w:sz w:val="24"/>
          <w:szCs w:val="24"/>
        </w:rPr>
        <w:t>二师父在18年3月和19年5</w:t>
      </w:r>
      <w:proofErr w:type="gramStart"/>
      <w:r w:rsidR="00F03F88">
        <w:rPr>
          <w:rFonts w:ascii="仿宋" w:eastAsia="仿宋" w:hAnsi="仿宋" w:hint="eastAsia"/>
          <w:sz w:val="24"/>
          <w:szCs w:val="24"/>
        </w:rPr>
        <w:t>月分</w:t>
      </w:r>
      <w:proofErr w:type="gramEnd"/>
      <w:r w:rsidR="00F03F88">
        <w:rPr>
          <w:rFonts w:ascii="仿宋" w:eastAsia="仿宋" w:hAnsi="仿宋" w:hint="eastAsia"/>
          <w:sz w:val="24"/>
          <w:szCs w:val="24"/>
        </w:rPr>
        <w:t>别分析过这只指数的价值，除了18年3月</w:t>
      </w:r>
      <w:r w:rsidR="00C84BD8">
        <w:rPr>
          <w:rFonts w:ascii="仿宋" w:eastAsia="仿宋" w:hAnsi="仿宋" w:hint="eastAsia"/>
          <w:sz w:val="24"/>
          <w:szCs w:val="24"/>
        </w:rPr>
        <w:t>中概互联高估</w:t>
      </w:r>
      <w:r w:rsidR="00F03F88">
        <w:rPr>
          <w:rFonts w:ascii="仿宋" w:eastAsia="仿宋" w:hAnsi="仿宋" w:hint="eastAsia"/>
          <w:sz w:val="24"/>
          <w:szCs w:val="24"/>
        </w:rPr>
        <w:t>不建议定投，后来一直是</w:t>
      </w:r>
      <w:proofErr w:type="gramStart"/>
      <w:r w:rsidR="00F03F88">
        <w:rPr>
          <w:rFonts w:ascii="仿宋" w:eastAsia="仿宋" w:hAnsi="仿宋" w:hint="eastAsia"/>
          <w:sz w:val="24"/>
          <w:szCs w:val="24"/>
        </w:rPr>
        <w:t>推荐定投这只</w:t>
      </w:r>
      <w:proofErr w:type="gramEnd"/>
      <w:r w:rsidR="00F03F88">
        <w:rPr>
          <w:rFonts w:ascii="仿宋" w:eastAsia="仿宋" w:hAnsi="仿宋" w:hint="eastAsia"/>
          <w:sz w:val="24"/>
          <w:szCs w:val="24"/>
        </w:rPr>
        <w:t>指数的</w:t>
      </w:r>
      <w:r w:rsidR="00C84BD8">
        <w:rPr>
          <w:rFonts w:ascii="仿宋" w:eastAsia="仿宋" w:hAnsi="仿宋" w:hint="eastAsia"/>
          <w:sz w:val="24"/>
          <w:szCs w:val="24"/>
        </w:rPr>
        <w:t>，那么阿里赴港上市了之后如何呢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C84BD8" w:rsidRDefault="00C84BD8" w:rsidP="005F29A5">
      <w:pPr>
        <w:spacing w:line="560" w:lineRule="exact"/>
        <w:rPr>
          <w:rFonts w:ascii="仿宋" w:eastAsia="仿宋" w:hAnsi="仿宋" w:hint="eastAsia"/>
          <w:sz w:val="24"/>
          <w:szCs w:val="24"/>
        </w:rPr>
      </w:pPr>
    </w:p>
    <w:p w:rsidR="00272296" w:rsidRPr="00435F2D" w:rsidRDefault="00C84BD8" w:rsidP="005F29A5">
      <w:pPr>
        <w:spacing w:line="560" w:lineRule="exact"/>
        <w:rPr>
          <w:rFonts w:ascii="仿宋" w:eastAsia="仿宋" w:hAnsi="仿宋" w:hint="eastAsia"/>
          <w:b/>
          <w:sz w:val="24"/>
          <w:szCs w:val="24"/>
        </w:rPr>
      </w:pPr>
      <w:r w:rsidRPr="00435F2D">
        <w:rPr>
          <w:rFonts w:ascii="仿宋" w:eastAsia="仿宋" w:hAnsi="仿宋" w:hint="eastAsia"/>
          <w:b/>
          <w:sz w:val="24"/>
          <w:szCs w:val="24"/>
        </w:rPr>
        <w:t>首先理解阿里巴巴上市的机制。</w:t>
      </w:r>
      <w:r w:rsidR="00272296" w:rsidRPr="00435F2D">
        <w:rPr>
          <w:rFonts w:ascii="仿宋" w:eastAsia="仿宋" w:hAnsi="仿宋" w:hint="eastAsia"/>
          <w:b/>
          <w:sz w:val="24"/>
          <w:szCs w:val="24"/>
        </w:rPr>
        <w:t>阿里巴巴是以存托凭证的形式在纽约证券交易所上市的，每一份存托凭证代表8只普通股票。这是为了让阿里巴巴的股票在海外流通，那么就将8只股票打包作为一个存托凭证，然后委托银行代为保管，外国存</w:t>
      </w:r>
      <w:proofErr w:type="gramStart"/>
      <w:r w:rsidR="00272296" w:rsidRPr="00435F2D">
        <w:rPr>
          <w:rFonts w:ascii="仿宋" w:eastAsia="仿宋" w:hAnsi="仿宋" w:hint="eastAsia"/>
          <w:b/>
          <w:sz w:val="24"/>
          <w:szCs w:val="24"/>
        </w:rPr>
        <w:t>托银行</w:t>
      </w:r>
      <w:proofErr w:type="gramEnd"/>
      <w:r w:rsidR="00733209">
        <w:rPr>
          <w:rFonts w:ascii="仿宋" w:eastAsia="仿宋" w:hAnsi="仿宋" w:hint="eastAsia"/>
          <w:b/>
          <w:sz w:val="24"/>
          <w:szCs w:val="24"/>
        </w:rPr>
        <w:t>来</w:t>
      </w:r>
      <w:r w:rsidR="00272296" w:rsidRPr="00435F2D">
        <w:rPr>
          <w:rFonts w:ascii="仿宋" w:eastAsia="仿宋" w:hAnsi="仿宋" w:hint="eastAsia"/>
          <w:b/>
          <w:sz w:val="24"/>
          <w:szCs w:val="24"/>
        </w:rPr>
        <w:t>发行交易。</w:t>
      </w:r>
    </w:p>
    <w:p w:rsidR="009F3491" w:rsidRDefault="009F3491" w:rsidP="005F29A5">
      <w:pPr>
        <w:spacing w:line="560" w:lineRule="exact"/>
        <w:rPr>
          <w:rFonts w:ascii="仿宋" w:eastAsia="仿宋" w:hAnsi="仿宋" w:hint="eastAsia"/>
          <w:sz w:val="24"/>
          <w:szCs w:val="24"/>
        </w:rPr>
      </w:pPr>
    </w:p>
    <w:p w:rsidR="009F3491" w:rsidRDefault="009F3491" w:rsidP="005F29A5">
      <w:pPr>
        <w:spacing w:line="56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在这次阿里巴巴到香港上市之后，</w:t>
      </w:r>
      <w:r w:rsidR="003011AD">
        <w:rPr>
          <w:rFonts w:ascii="仿宋" w:eastAsia="仿宋" w:hAnsi="仿宋" w:hint="eastAsia"/>
          <w:sz w:val="24"/>
          <w:szCs w:val="24"/>
        </w:rPr>
        <w:t>在香港上市的</w:t>
      </w:r>
      <w:r w:rsidR="00733209">
        <w:rPr>
          <w:rFonts w:ascii="仿宋" w:eastAsia="仿宋" w:hAnsi="仿宋" w:hint="eastAsia"/>
          <w:sz w:val="24"/>
          <w:szCs w:val="24"/>
        </w:rPr>
        <w:t>阿里</w:t>
      </w:r>
      <w:r w:rsidR="003011AD">
        <w:rPr>
          <w:rFonts w:ascii="仿宋" w:eastAsia="仿宋" w:hAnsi="仿宋" w:hint="eastAsia"/>
          <w:sz w:val="24"/>
          <w:szCs w:val="24"/>
        </w:rPr>
        <w:t>股份</w:t>
      </w:r>
      <w:r w:rsidR="00733209">
        <w:rPr>
          <w:rFonts w:ascii="仿宋" w:eastAsia="仿宋" w:hAnsi="仿宋" w:hint="eastAsia"/>
          <w:sz w:val="24"/>
          <w:szCs w:val="24"/>
        </w:rPr>
        <w:t>和</w:t>
      </w:r>
      <w:r w:rsidR="003011AD">
        <w:rPr>
          <w:rFonts w:ascii="仿宋" w:eastAsia="仿宋" w:hAnsi="仿宋" w:hint="eastAsia"/>
          <w:sz w:val="24"/>
          <w:szCs w:val="24"/>
        </w:rPr>
        <w:t>在纽约证券交易所上市的存托凭证是可以相互转换的，只是说</w:t>
      </w:r>
      <w:r w:rsidR="00733209">
        <w:rPr>
          <w:rFonts w:ascii="仿宋" w:eastAsia="仿宋" w:hAnsi="仿宋" w:hint="eastAsia"/>
          <w:sz w:val="24"/>
          <w:szCs w:val="24"/>
        </w:rPr>
        <w:t>阿里</w:t>
      </w:r>
      <w:r w:rsidR="003011AD">
        <w:rPr>
          <w:rFonts w:ascii="仿宋" w:eastAsia="仿宋" w:hAnsi="仿宋" w:hint="eastAsia"/>
          <w:sz w:val="24"/>
          <w:szCs w:val="24"/>
        </w:rPr>
        <w:t>上市地点不同</w:t>
      </w:r>
      <w:r w:rsidR="00733209">
        <w:rPr>
          <w:rFonts w:ascii="仿宋" w:eastAsia="仿宋" w:hAnsi="仿宋" w:hint="eastAsia"/>
          <w:sz w:val="24"/>
          <w:szCs w:val="24"/>
        </w:rPr>
        <w:t>了</w:t>
      </w:r>
      <w:r w:rsidR="003011AD">
        <w:rPr>
          <w:rFonts w:ascii="仿宋" w:eastAsia="仿宋" w:hAnsi="仿宋" w:hint="eastAsia"/>
          <w:sz w:val="24"/>
          <w:szCs w:val="24"/>
        </w:rPr>
        <w:t>，股票代码不同，本质</w:t>
      </w:r>
      <w:r w:rsidR="00733209">
        <w:rPr>
          <w:rFonts w:ascii="仿宋" w:eastAsia="仿宋" w:hAnsi="仿宋" w:hint="eastAsia"/>
          <w:sz w:val="24"/>
          <w:szCs w:val="24"/>
        </w:rPr>
        <w:t>都</w:t>
      </w:r>
      <w:r w:rsidR="003011AD">
        <w:rPr>
          <w:rFonts w:ascii="仿宋" w:eastAsia="仿宋" w:hAnsi="仿宋" w:hint="eastAsia"/>
          <w:sz w:val="24"/>
          <w:szCs w:val="24"/>
        </w:rPr>
        <w:t>是阿里巴巴企业。就如同二师父不管叫二师兄还是大师父，本质都是我，</w:t>
      </w:r>
      <w:r w:rsidR="00733209">
        <w:rPr>
          <w:rFonts w:ascii="仿宋" w:eastAsia="仿宋" w:hAnsi="仿宋" w:hint="eastAsia"/>
          <w:sz w:val="24"/>
          <w:szCs w:val="24"/>
        </w:rPr>
        <w:t>与我叫啥没有区别</w:t>
      </w:r>
      <w:r w:rsidR="003011AD">
        <w:rPr>
          <w:rFonts w:ascii="仿宋" w:eastAsia="仿宋" w:hAnsi="仿宋" w:hint="eastAsia"/>
          <w:sz w:val="24"/>
          <w:szCs w:val="24"/>
        </w:rPr>
        <w:t>。所以</w:t>
      </w:r>
      <w:r w:rsidR="00F073EE">
        <w:rPr>
          <w:rFonts w:ascii="仿宋" w:eastAsia="仿宋" w:hAnsi="仿宋" w:hint="eastAsia"/>
          <w:sz w:val="24"/>
          <w:szCs w:val="24"/>
        </w:rPr>
        <w:t>阿里回港上市</w:t>
      </w:r>
      <w:proofErr w:type="gramStart"/>
      <w:r w:rsidR="003011AD">
        <w:rPr>
          <w:rFonts w:ascii="仿宋" w:eastAsia="仿宋" w:hAnsi="仿宋" w:hint="eastAsia"/>
          <w:sz w:val="24"/>
          <w:szCs w:val="24"/>
        </w:rPr>
        <w:t>对中概互联</w:t>
      </w:r>
      <w:proofErr w:type="gramEnd"/>
      <w:r w:rsidR="003011AD">
        <w:rPr>
          <w:rFonts w:ascii="仿宋" w:eastAsia="仿宋" w:hAnsi="仿宋" w:hint="eastAsia"/>
          <w:sz w:val="24"/>
          <w:szCs w:val="24"/>
        </w:rPr>
        <w:t>基金没有影响。</w:t>
      </w:r>
    </w:p>
    <w:p w:rsidR="00DA76AD" w:rsidRDefault="00DA76AD" w:rsidP="005F29A5">
      <w:pPr>
        <w:spacing w:line="560" w:lineRule="exact"/>
        <w:rPr>
          <w:rFonts w:ascii="仿宋" w:eastAsia="仿宋" w:hAnsi="仿宋" w:hint="eastAsia"/>
          <w:sz w:val="24"/>
          <w:szCs w:val="24"/>
        </w:rPr>
      </w:pPr>
    </w:p>
    <w:p w:rsidR="003011AD" w:rsidRDefault="003011AD" w:rsidP="005F29A5">
      <w:pPr>
        <w:spacing w:line="56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这只基金最好的购买时机是18年底，</w:t>
      </w:r>
      <w:r w:rsidR="005B2C8B">
        <w:rPr>
          <w:rFonts w:ascii="仿宋" w:eastAsia="仿宋" w:hAnsi="仿宋" w:hint="eastAsia"/>
          <w:sz w:val="24"/>
          <w:szCs w:val="24"/>
        </w:rPr>
        <w:t>今年</w:t>
      </w:r>
      <w:r w:rsidR="003B6F3F">
        <w:rPr>
          <w:rFonts w:ascii="仿宋" w:eastAsia="仿宋" w:hAnsi="仿宋" w:hint="eastAsia"/>
          <w:sz w:val="24"/>
          <w:szCs w:val="24"/>
        </w:rPr>
        <w:t>虽然</w:t>
      </w:r>
      <w:r w:rsidR="005B2C8B">
        <w:rPr>
          <w:rFonts w:ascii="仿宋" w:eastAsia="仿宋" w:hAnsi="仿宋" w:hint="eastAsia"/>
          <w:sz w:val="24"/>
          <w:szCs w:val="24"/>
        </w:rPr>
        <w:t>涨了22%，但是</w:t>
      </w:r>
      <w:r>
        <w:rPr>
          <w:rFonts w:ascii="仿宋" w:eastAsia="仿宋" w:hAnsi="仿宋" w:hint="eastAsia"/>
          <w:sz w:val="24"/>
          <w:szCs w:val="24"/>
        </w:rPr>
        <w:t>目前仍旧不贵</w:t>
      </w:r>
      <w:r w:rsidR="005B2C8B">
        <w:rPr>
          <w:rFonts w:ascii="仿宋" w:eastAsia="仿宋" w:hAnsi="仿宋" w:hint="eastAsia"/>
          <w:sz w:val="24"/>
          <w:szCs w:val="24"/>
        </w:rPr>
        <w:t>，处于正常偏低估值</w:t>
      </w:r>
      <w:r>
        <w:rPr>
          <w:rFonts w:ascii="仿宋" w:eastAsia="仿宋" w:hAnsi="仿宋" w:hint="eastAsia"/>
          <w:sz w:val="24"/>
          <w:szCs w:val="24"/>
        </w:rPr>
        <w:t>，可以通过定投来平摊</w:t>
      </w:r>
      <w:r w:rsidR="005B2C8B">
        <w:rPr>
          <w:rFonts w:ascii="仿宋" w:eastAsia="仿宋" w:hAnsi="仿宋" w:hint="eastAsia"/>
          <w:sz w:val="24"/>
          <w:szCs w:val="24"/>
        </w:rPr>
        <w:t>风险。已经购买盈利的朋友适当网格策略做波段，利用当前市场波动获取利润。</w:t>
      </w:r>
    </w:p>
    <w:p w:rsidR="003011AD" w:rsidRPr="0009443A" w:rsidRDefault="003011AD" w:rsidP="005F29A5">
      <w:pPr>
        <w:spacing w:line="560" w:lineRule="exact"/>
        <w:rPr>
          <w:rFonts w:ascii="仿宋" w:eastAsia="仿宋" w:hAnsi="仿宋"/>
          <w:sz w:val="24"/>
          <w:szCs w:val="24"/>
        </w:rPr>
      </w:pPr>
    </w:p>
    <w:p w:rsidR="00DA76AD" w:rsidRPr="003B6F3F" w:rsidRDefault="003B6F3F" w:rsidP="003011AD">
      <w:pPr>
        <w:spacing w:line="560" w:lineRule="exact"/>
        <w:rPr>
          <w:rFonts w:ascii="仿宋" w:eastAsia="仿宋" w:hAnsi="仿宋"/>
          <w:b/>
          <w:sz w:val="24"/>
          <w:szCs w:val="24"/>
        </w:rPr>
      </w:pPr>
      <w:r w:rsidRPr="003B6F3F">
        <w:rPr>
          <w:rFonts w:ascii="仿宋" w:eastAsia="仿宋" w:hAnsi="仿宋" w:hint="eastAsia"/>
          <w:b/>
          <w:sz w:val="24"/>
          <w:szCs w:val="24"/>
        </w:rPr>
        <w:t>这只</w:t>
      </w:r>
      <w:r w:rsidR="003011AD" w:rsidRPr="003B6F3F">
        <w:rPr>
          <w:rFonts w:ascii="仿宋" w:eastAsia="仿宋" w:hAnsi="仿宋" w:hint="eastAsia"/>
          <w:b/>
          <w:sz w:val="24"/>
          <w:szCs w:val="24"/>
        </w:rPr>
        <w:t>基金</w:t>
      </w:r>
      <w:r w:rsidR="005B2C8B" w:rsidRPr="003B6F3F">
        <w:rPr>
          <w:rFonts w:ascii="仿宋" w:eastAsia="仿宋" w:hAnsi="仿宋" w:hint="eastAsia"/>
          <w:b/>
          <w:sz w:val="24"/>
          <w:szCs w:val="24"/>
        </w:rPr>
        <w:t>场内代码是513050，从买入费率考虑场内划算。场外代码是006327，场外的规模只有8000多万，不足一亿元，仍旧具有清盘风险。如果</w:t>
      </w:r>
      <w:proofErr w:type="gramStart"/>
      <w:r w:rsidR="005B2C8B" w:rsidRPr="003B6F3F">
        <w:rPr>
          <w:rFonts w:ascii="仿宋" w:eastAsia="仿宋" w:hAnsi="仿宋" w:hint="eastAsia"/>
          <w:b/>
          <w:sz w:val="24"/>
          <w:szCs w:val="24"/>
        </w:rPr>
        <w:t>定投的话</w:t>
      </w:r>
      <w:proofErr w:type="gramEnd"/>
      <w:r w:rsidR="005B2C8B" w:rsidRPr="003B6F3F">
        <w:rPr>
          <w:rFonts w:ascii="仿宋" w:eastAsia="仿宋" w:hAnsi="仿宋" w:hint="eastAsia"/>
          <w:b/>
          <w:sz w:val="24"/>
          <w:szCs w:val="24"/>
        </w:rPr>
        <w:t>选择场内</w:t>
      </w:r>
      <w:r w:rsidRPr="003B6F3F">
        <w:rPr>
          <w:rFonts w:ascii="仿宋" w:eastAsia="仿宋" w:hAnsi="仿宋" w:hint="eastAsia"/>
          <w:b/>
          <w:sz w:val="24"/>
          <w:szCs w:val="24"/>
        </w:rPr>
        <w:t>最合适</w:t>
      </w:r>
      <w:r w:rsidR="005B2C8B" w:rsidRPr="003B6F3F">
        <w:rPr>
          <w:rFonts w:ascii="仿宋" w:eastAsia="仿宋" w:hAnsi="仿宋" w:hint="eastAsia"/>
          <w:b/>
          <w:sz w:val="24"/>
          <w:szCs w:val="24"/>
        </w:rPr>
        <w:t>。</w:t>
      </w:r>
      <w:bookmarkStart w:id="0" w:name="_GoBack"/>
      <w:bookmarkEnd w:id="0"/>
    </w:p>
    <w:p w:rsidR="00DA76AD" w:rsidRPr="0009443A" w:rsidRDefault="00DA76AD" w:rsidP="005F29A5">
      <w:pPr>
        <w:spacing w:line="560" w:lineRule="exact"/>
        <w:rPr>
          <w:rFonts w:ascii="仿宋" w:eastAsia="仿宋" w:hAnsi="仿宋"/>
          <w:sz w:val="24"/>
          <w:szCs w:val="24"/>
        </w:rPr>
      </w:pPr>
    </w:p>
    <w:p w:rsidR="00DA76AD" w:rsidRPr="0009443A" w:rsidRDefault="005B2C8B" w:rsidP="005F29A5">
      <w:pPr>
        <w:spacing w:line="56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提示：</w:t>
      </w:r>
      <w:r w:rsidR="00DA76AD" w:rsidRPr="0009443A">
        <w:rPr>
          <w:rFonts w:ascii="仿宋" w:eastAsia="仿宋" w:hAnsi="仿宋" w:hint="eastAsia"/>
          <w:sz w:val="24"/>
          <w:szCs w:val="24"/>
        </w:rPr>
        <w:t>仅为个人观点，不构成任何投资建议。</w:t>
      </w:r>
    </w:p>
    <w:p w:rsidR="00BC7041" w:rsidRDefault="00BC7041" w:rsidP="005F29A5">
      <w:pPr>
        <w:spacing w:line="560" w:lineRule="exact"/>
        <w:rPr>
          <w:rFonts w:ascii="仿宋" w:eastAsia="仿宋" w:hAnsi="仿宋"/>
          <w:sz w:val="30"/>
          <w:szCs w:val="30"/>
        </w:rPr>
      </w:pPr>
    </w:p>
    <w:sectPr w:rsidR="00BC7041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A6D" w:rsidRDefault="00676A6D" w:rsidP="00BB71F5">
      <w:r>
        <w:separator/>
      </w:r>
    </w:p>
  </w:endnote>
  <w:endnote w:type="continuationSeparator" w:id="0">
    <w:p w:rsidR="00676A6D" w:rsidRDefault="00676A6D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A6D" w:rsidRDefault="00676A6D" w:rsidP="00BB71F5">
      <w:r>
        <w:separator/>
      </w:r>
    </w:p>
  </w:footnote>
  <w:footnote w:type="continuationSeparator" w:id="0">
    <w:p w:rsidR="00676A6D" w:rsidRDefault="00676A6D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7544" w:rsidRDefault="00E57544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412D"/>
    <w:rsid w:val="00041807"/>
    <w:rsid w:val="00042A98"/>
    <w:rsid w:val="0007063D"/>
    <w:rsid w:val="00080F66"/>
    <w:rsid w:val="0009443A"/>
    <w:rsid w:val="000E3856"/>
    <w:rsid w:val="000F3C52"/>
    <w:rsid w:val="00167DF2"/>
    <w:rsid w:val="001A6305"/>
    <w:rsid w:val="002606C8"/>
    <w:rsid w:val="00265031"/>
    <w:rsid w:val="002650E0"/>
    <w:rsid w:val="00265B91"/>
    <w:rsid w:val="00272296"/>
    <w:rsid w:val="002F019E"/>
    <w:rsid w:val="002F29D6"/>
    <w:rsid w:val="003011AD"/>
    <w:rsid w:val="003B6F3F"/>
    <w:rsid w:val="003D6557"/>
    <w:rsid w:val="003D7CDD"/>
    <w:rsid w:val="003F3939"/>
    <w:rsid w:val="00406A9C"/>
    <w:rsid w:val="00435F2D"/>
    <w:rsid w:val="004518AC"/>
    <w:rsid w:val="004764BB"/>
    <w:rsid w:val="004970FC"/>
    <w:rsid w:val="004F30A0"/>
    <w:rsid w:val="00523D80"/>
    <w:rsid w:val="0054257B"/>
    <w:rsid w:val="005B2C8B"/>
    <w:rsid w:val="005F29A5"/>
    <w:rsid w:val="006369FC"/>
    <w:rsid w:val="00676A6D"/>
    <w:rsid w:val="00686C9C"/>
    <w:rsid w:val="006A781A"/>
    <w:rsid w:val="00733209"/>
    <w:rsid w:val="00773198"/>
    <w:rsid w:val="007B7714"/>
    <w:rsid w:val="007D26DC"/>
    <w:rsid w:val="00814AFA"/>
    <w:rsid w:val="00873DBD"/>
    <w:rsid w:val="008B1C4D"/>
    <w:rsid w:val="008B4E8D"/>
    <w:rsid w:val="0091509E"/>
    <w:rsid w:val="00977DF0"/>
    <w:rsid w:val="009B5C06"/>
    <w:rsid w:val="009F3491"/>
    <w:rsid w:val="00A444E5"/>
    <w:rsid w:val="00A542A1"/>
    <w:rsid w:val="00B37268"/>
    <w:rsid w:val="00B561FB"/>
    <w:rsid w:val="00BB71F5"/>
    <w:rsid w:val="00BC7041"/>
    <w:rsid w:val="00BE1EA6"/>
    <w:rsid w:val="00C50153"/>
    <w:rsid w:val="00C53592"/>
    <w:rsid w:val="00C60771"/>
    <w:rsid w:val="00C84BD8"/>
    <w:rsid w:val="00C8756A"/>
    <w:rsid w:val="00CB56A2"/>
    <w:rsid w:val="00CE0550"/>
    <w:rsid w:val="00D23D5F"/>
    <w:rsid w:val="00D56890"/>
    <w:rsid w:val="00DA76AD"/>
    <w:rsid w:val="00DB0A8B"/>
    <w:rsid w:val="00E55837"/>
    <w:rsid w:val="00E57544"/>
    <w:rsid w:val="00E87CCF"/>
    <w:rsid w:val="00E97BC4"/>
    <w:rsid w:val="00F03F88"/>
    <w:rsid w:val="00F05D31"/>
    <w:rsid w:val="00F073EE"/>
    <w:rsid w:val="00F13E17"/>
    <w:rsid w:val="00F96843"/>
    <w:rsid w:val="00FB338B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table" w:styleId="a8">
    <w:name w:val="Table Grid"/>
    <w:basedOn w:val="a1"/>
    <w:uiPriority w:val="59"/>
    <w:rsid w:val="00C875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table" w:styleId="a8">
    <w:name w:val="Table Grid"/>
    <w:basedOn w:val="a1"/>
    <w:uiPriority w:val="59"/>
    <w:rsid w:val="00C875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3</Pages>
  <Words>189</Words>
  <Characters>1082</Characters>
  <Application>Microsoft Office Word</Application>
  <DocSecurity>0</DocSecurity>
  <Lines>9</Lines>
  <Paragraphs>2</Paragraphs>
  <ScaleCrop>false</ScaleCrop>
  <Company>Microsoft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46</cp:revision>
  <dcterms:created xsi:type="dcterms:W3CDTF">2018-01-31T14:55:00Z</dcterms:created>
  <dcterms:modified xsi:type="dcterms:W3CDTF">2019-11-15T10:48:00Z</dcterms:modified>
</cp:coreProperties>
</file>