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3月金融数据超预期，银行业现在是否值得投资</w:t>
      </w: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rPr>
      </w:pPr>
      <w:bookmarkStart w:id="3" w:name="_GoBack"/>
      <w:bookmarkEnd w:id="3"/>
    </w:p>
    <w:p>
      <w:pPr>
        <w:widowControl w:val="0"/>
        <w:numPr>
          <w:ilvl w:val="0"/>
          <w:numId w:val="0"/>
        </w:numPr>
        <w:jc w:val="left"/>
        <w:rPr>
          <w:rFonts w:hint="default" w:ascii="仿宋" w:hAnsi="仿宋" w:eastAsia="仿宋"/>
          <w:b w:val="0"/>
          <w:bCs w:val="0"/>
          <w:color w:val="auto"/>
          <w:sz w:val="26"/>
          <w:szCs w:val="26"/>
          <w:lang w:val="en-US" w:eastAsia="zh-CN"/>
        </w:rPr>
      </w:pPr>
      <w:bookmarkStart w:id="0" w:name="OLE_LINK3"/>
      <w:bookmarkStart w:id="1" w:name="OLE_LINK2"/>
      <w:bookmarkStart w:id="2" w:name="OLE_LINK1"/>
      <w:r>
        <w:rPr>
          <w:rFonts w:hint="eastAsia" w:ascii="仿宋" w:hAnsi="仿宋" w:eastAsia="仿宋"/>
          <w:b w:val="0"/>
          <w:bCs w:val="0"/>
          <w:color w:val="auto"/>
          <w:sz w:val="26"/>
          <w:szCs w:val="26"/>
          <w:lang w:val="en-US" w:eastAsia="zh-CN"/>
        </w:rPr>
        <w:t>2020年3月社融超预期增长，M2增速10.1%，贷款和企业债券融资同比大幅放量，这对投资银行业会产生一定的影响，不管是准备投资银行业，还是已经投资银行业的投资者都需要关注这些金融数据。</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1"/>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超预期金融数据分析</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3月份对实体经济发放人民币贷款3.04万亿元，同比多增1.08万亿元；新增企业债券融资9953亿元，同比增加6407亿元，贷款和企业债券融资同比大幅放量。</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与此同时，居民消费需求恢复，购房需求保持韧性，3月居民贷款合计同比增加1000亿，后续会加大消费刺激，推动居民消费政策逐步推出，全年居民房贷同比将会超预期增长。</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为了对冲经济下行压力，各国央行纷纷采取积极的货币政策来提前应对。在国内，货币当局开始允许杠杆率上升，预计后续仍会保持宽松的信贷政策支持实体经济。3月M2增速同比增长10.1%，流动性宽裕继续保持。</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2、银行业投资价值分析</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常规逻辑来分析，社融数据增加，银行的基础业务增加，显然是利好银行业的发展。而现在银行业一直下跌不断，这是什么原因呢？</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有贷款就有回款，银行的主要业务是存贷款利息差。在这里有个关键问题，不良贷款率。</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按照理想化的假设，当银行的不良贷款率为零，那么银行股的每股实际净资产就和账面净资产是一致的，这时候从财务报表上看到的银行股每股净资产价值就能够反应实际的银行股价值。</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反之，银行股的不良贷款率越高，那么他的账面净资产就比实际净资产高的越多。常用的估值指标PB就是银行股的价格除以每股账面净资产，这种时候利用虚高的每股账面净资产来计算PB，就会导致PB很小，而这个PB只是账面数据，并非显示实际的市净率。</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所以现在投资银行股的关键问题在于查看银行股的不良贷款率，对于中证银行指数，包含了众多的银行股，肯定会有一些资产不良的企业，所以没必要去投资这个包含众多银行股的指数。</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在整个2020年，以金融业让位于实体经济，会增加银行对不良贷款率的容忍度，这会让银行的坏账率更高。</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3、已经投资了银行指数的怎么办</w:t>
      </w:r>
    </w:p>
    <w:p>
      <w:pPr>
        <w:widowControl w:val="0"/>
        <w:numPr>
          <w:ilvl w:val="0"/>
          <w:numId w:val="0"/>
        </w:numPr>
        <w:jc w:val="left"/>
        <w:rPr>
          <w:rFonts w:hint="default" w:ascii="仿宋" w:hAnsi="仿宋" w:eastAsia="仿宋"/>
          <w:b w:val="0"/>
          <w:bCs w:val="0"/>
          <w:sz w:val="26"/>
          <w:szCs w:val="26"/>
          <w:lang w:val="en-US" w:eastAsia="zh-CN"/>
        </w:rPr>
      </w:pPr>
    </w:p>
    <w:bookmarkEnd w:id="0"/>
    <w:bookmarkEnd w:id="1"/>
    <w:bookmarkEnd w:id="2"/>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金融服务业是优质的行业，银行业也是经济的晴雨表，已经投资了银行指数的不用过于担心。这类行业在经济处于衰退期间会表现差。</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如今就是经济的第四阶段，而投资者持有低估的银行指数，等到经济复苏之后仍旧能够取得相应的收益，但是并不会有所谓的超额收益。</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投资者的时间成本可能比较高，你无法确定经济何时复苏和繁荣。如果经济长期低迷，实体经济不能得到快速发展，那么银行业也不会实现戴维斯双击。</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5F82A"/>
    <w:multiLevelType w:val="singleLevel"/>
    <w:tmpl w:val="B435F82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C8F"/>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15C3"/>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84A48"/>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5244D"/>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84442"/>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46075"/>
    <w:rsid w:val="0172693B"/>
    <w:rsid w:val="01992485"/>
    <w:rsid w:val="023D73B6"/>
    <w:rsid w:val="029065AA"/>
    <w:rsid w:val="02A03DCF"/>
    <w:rsid w:val="02C26C89"/>
    <w:rsid w:val="02C80AFD"/>
    <w:rsid w:val="0351604A"/>
    <w:rsid w:val="03836B1D"/>
    <w:rsid w:val="03B105E4"/>
    <w:rsid w:val="04B12D86"/>
    <w:rsid w:val="04E60315"/>
    <w:rsid w:val="05416107"/>
    <w:rsid w:val="054B090C"/>
    <w:rsid w:val="05574D9D"/>
    <w:rsid w:val="05820F10"/>
    <w:rsid w:val="068854FD"/>
    <w:rsid w:val="0703372E"/>
    <w:rsid w:val="071D0A33"/>
    <w:rsid w:val="08127619"/>
    <w:rsid w:val="09CC08E3"/>
    <w:rsid w:val="0A341C9F"/>
    <w:rsid w:val="0A5848E3"/>
    <w:rsid w:val="0A5D03AB"/>
    <w:rsid w:val="0A6C551C"/>
    <w:rsid w:val="0A9E0FC9"/>
    <w:rsid w:val="0AFC5636"/>
    <w:rsid w:val="0B6328AF"/>
    <w:rsid w:val="0BF446D2"/>
    <w:rsid w:val="0C2E5056"/>
    <w:rsid w:val="0CBF52FE"/>
    <w:rsid w:val="0CE17F18"/>
    <w:rsid w:val="0CF85BB4"/>
    <w:rsid w:val="0D46243F"/>
    <w:rsid w:val="0D527BA0"/>
    <w:rsid w:val="0DA13C0D"/>
    <w:rsid w:val="0E156980"/>
    <w:rsid w:val="0E512ED5"/>
    <w:rsid w:val="0EF9131E"/>
    <w:rsid w:val="0F972F6F"/>
    <w:rsid w:val="0FA53157"/>
    <w:rsid w:val="0FC530DB"/>
    <w:rsid w:val="116E4FB7"/>
    <w:rsid w:val="11767A37"/>
    <w:rsid w:val="1187317A"/>
    <w:rsid w:val="11900AD7"/>
    <w:rsid w:val="11DC0F03"/>
    <w:rsid w:val="12260A3B"/>
    <w:rsid w:val="129E43DE"/>
    <w:rsid w:val="134E032B"/>
    <w:rsid w:val="13503064"/>
    <w:rsid w:val="135E5207"/>
    <w:rsid w:val="138174DD"/>
    <w:rsid w:val="1445349B"/>
    <w:rsid w:val="15F248A7"/>
    <w:rsid w:val="16410CAE"/>
    <w:rsid w:val="172A5D87"/>
    <w:rsid w:val="17554E81"/>
    <w:rsid w:val="17724947"/>
    <w:rsid w:val="17CE7CBF"/>
    <w:rsid w:val="17EE5322"/>
    <w:rsid w:val="180009E7"/>
    <w:rsid w:val="18703140"/>
    <w:rsid w:val="18787C52"/>
    <w:rsid w:val="198A3323"/>
    <w:rsid w:val="19E86F18"/>
    <w:rsid w:val="19F835C0"/>
    <w:rsid w:val="1A1F7F18"/>
    <w:rsid w:val="1A9813F1"/>
    <w:rsid w:val="1B0E684D"/>
    <w:rsid w:val="1B9573C7"/>
    <w:rsid w:val="1BCE6317"/>
    <w:rsid w:val="1C383D84"/>
    <w:rsid w:val="1C3E0032"/>
    <w:rsid w:val="1C6407D4"/>
    <w:rsid w:val="1C902976"/>
    <w:rsid w:val="1D3B084D"/>
    <w:rsid w:val="1E7452A6"/>
    <w:rsid w:val="1FBB128C"/>
    <w:rsid w:val="2065605F"/>
    <w:rsid w:val="207B579E"/>
    <w:rsid w:val="20BC38FF"/>
    <w:rsid w:val="217E6A8D"/>
    <w:rsid w:val="22FB0F57"/>
    <w:rsid w:val="240128C1"/>
    <w:rsid w:val="240E562D"/>
    <w:rsid w:val="24686266"/>
    <w:rsid w:val="24BE564F"/>
    <w:rsid w:val="24F02BFE"/>
    <w:rsid w:val="24F5131C"/>
    <w:rsid w:val="257E0832"/>
    <w:rsid w:val="25C03879"/>
    <w:rsid w:val="25D27EE1"/>
    <w:rsid w:val="25F84658"/>
    <w:rsid w:val="25FC54EF"/>
    <w:rsid w:val="26040693"/>
    <w:rsid w:val="270D633B"/>
    <w:rsid w:val="27B07E53"/>
    <w:rsid w:val="27B50ACC"/>
    <w:rsid w:val="28E2209E"/>
    <w:rsid w:val="29736FDC"/>
    <w:rsid w:val="2A16589F"/>
    <w:rsid w:val="2A2D247D"/>
    <w:rsid w:val="2A3F7252"/>
    <w:rsid w:val="2A5545D8"/>
    <w:rsid w:val="2A836609"/>
    <w:rsid w:val="2B3A38E0"/>
    <w:rsid w:val="2B8110C1"/>
    <w:rsid w:val="2B8F7F26"/>
    <w:rsid w:val="2B924BC4"/>
    <w:rsid w:val="2B9C69B1"/>
    <w:rsid w:val="2BE90DD4"/>
    <w:rsid w:val="2C5C39D0"/>
    <w:rsid w:val="2CA43C95"/>
    <w:rsid w:val="2D1E0535"/>
    <w:rsid w:val="2D7E3302"/>
    <w:rsid w:val="2DD711CC"/>
    <w:rsid w:val="2E117557"/>
    <w:rsid w:val="2E1D698A"/>
    <w:rsid w:val="2E687E35"/>
    <w:rsid w:val="2E725482"/>
    <w:rsid w:val="2EC274E7"/>
    <w:rsid w:val="2EDB23C1"/>
    <w:rsid w:val="2F3D1E1A"/>
    <w:rsid w:val="2FCB6351"/>
    <w:rsid w:val="2FE650FB"/>
    <w:rsid w:val="309C73BE"/>
    <w:rsid w:val="310B5A40"/>
    <w:rsid w:val="315E1573"/>
    <w:rsid w:val="32F40E0F"/>
    <w:rsid w:val="3315582F"/>
    <w:rsid w:val="337F2242"/>
    <w:rsid w:val="33CF14F3"/>
    <w:rsid w:val="342C1F18"/>
    <w:rsid w:val="34446DA2"/>
    <w:rsid w:val="345D023C"/>
    <w:rsid w:val="34ED03A9"/>
    <w:rsid w:val="34F95910"/>
    <w:rsid w:val="35867DFB"/>
    <w:rsid w:val="358C5A24"/>
    <w:rsid w:val="35E36959"/>
    <w:rsid w:val="36274243"/>
    <w:rsid w:val="373E184F"/>
    <w:rsid w:val="376C280D"/>
    <w:rsid w:val="377922D7"/>
    <w:rsid w:val="37C06E45"/>
    <w:rsid w:val="37C709F4"/>
    <w:rsid w:val="397B4252"/>
    <w:rsid w:val="39BF2DFA"/>
    <w:rsid w:val="3A1C172F"/>
    <w:rsid w:val="3AE70FE0"/>
    <w:rsid w:val="3BCE5B46"/>
    <w:rsid w:val="3BE7476F"/>
    <w:rsid w:val="3C606E84"/>
    <w:rsid w:val="3CDD60D7"/>
    <w:rsid w:val="3D034A46"/>
    <w:rsid w:val="3D08592A"/>
    <w:rsid w:val="3D512E5A"/>
    <w:rsid w:val="3D602EC2"/>
    <w:rsid w:val="3D9F7CFD"/>
    <w:rsid w:val="3DB90E1A"/>
    <w:rsid w:val="3E521E82"/>
    <w:rsid w:val="3E743CF5"/>
    <w:rsid w:val="3ED6626F"/>
    <w:rsid w:val="3F3257DF"/>
    <w:rsid w:val="3F92364D"/>
    <w:rsid w:val="3FC76BD4"/>
    <w:rsid w:val="3FCC0C72"/>
    <w:rsid w:val="3FE5204E"/>
    <w:rsid w:val="400B1F93"/>
    <w:rsid w:val="40514C85"/>
    <w:rsid w:val="4070148C"/>
    <w:rsid w:val="40B44669"/>
    <w:rsid w:val="4103501F"/>
    <w:rsid w:val="41710602"/>
    <w:rsid w:val="42AC1B54"/>
    <w:rsid w:val="42B20008"/>
    <w:rsid w:val="441E5A8F"/>
    <w:rsid w:val="453C6975"/>
    <w:rsid w:val="45582111"/>
    <w:rsid w:val="45B256D5"/>
    <w:rsid w:val="46231B8B"/>
    <w:rsid w:val="46B04FBE"/>
    <w:rsid w:val="46BD3A17"/>
    <w:rsid w:val="46E13DEF"/>
    <w:rsid w:val="475362EF"/>
    <w:rsid w:val="4758464A"/>
    <w:rsid w:val="47835C9E"/>
    <w:rsid w:val="47934A85"/>
    <w:rsid w:val="47C575FD"/>
    <w:rsid w:val="48286630"/>
    <w:rsid w:val="491A62C9"/>
    <w:rsid w:val="497F16D1"/>
    <w:rsid w:val="498669CD"/>
    <w:rsid w:val="4A127DC6"/>
    <w:rsid w:val="4A7A252E"/>
    <w:rsid w:val="4A8E3D14"/>
    <w:rsid w:val="4B8719CB"/>
    <w:rsid w:val="4B8B20EF"/>
    <w:rsid w:val="4C2C1055"/>
    <w:rsid w:val="4C3427A1"/>
    <w:rsid w:val="4D1E6F6B"/>
    <w:rsid w:val="4D3D0CC9"/>
    <w:rsid w:val="4D96693C"/>
    <w:rsid w:val="4DAF32B0"/>
    <w:rsid w:val="4E3F7AE7"/>
    <w:rsid w:val="4F5E16C6"/>
    <w:rsid w:val="4F690D2B"/>
    <w:rsid w:val="4FC172B4"/>
    <w:rsid w:val="50127D3B"/>
    <w:rsid w:val="504B330F"/>
    <w:rsid w:val="513E3AC4"/>
    <w:rsid w:val="5185222A"/>
    <w:rsid w:val="52266267"/>
    <w:rsid w:val="52456862"/>
    <w:rsid w:val="526551AC"/>
    <w:rsid w:val="533D431D"/>
    <w:rsid w:val="534B456C"/>
    <w:rsid w:val="538B6188"/>
    <w:rsid w:val="53B85355"/>
    <w:rsid w:val="541216EE"/>
    <w:rsid w:val="546875F0"/>
    <w:rsid w:val="546A4EFC"/>
    <w:rsid w:val="54A67803"/>
    <w:rsid w:val="54F30284"/>
    <w:rsid w:val="55825E29"/>
    <w:rsid w:val="568D1FB2"/>
    <w:rsid w:val="568D6FE0"/>
    <w:rsid w:val="57300CD3"/>
    <w:rsid w:val="57376E35"/>
    <w:rsid w:val="573B381A"/>
    <w:rsid w:val="57624EA6"/>
    <w:rsid w:val="57630DC6"/>
    <w:rsid w:val="576F3008"/>
    <w:rsid w:val="5803453F"/>
    <w:rsid w:val="580A39C0"/>
    <w:rsid w:val="592D41DA"/>
    <w:rsid w:val="59725356"/>
    <w:rsid w:val="5A510B5A"/>
    <w:rsid w:val="5A5508B3"/>
    <w:rsid w:val="5AA302A6"/>
    <w:rsid w:val="5AD67949"/>
    <w:rsid w:val="5B4659F0"/>
    <w:rsid w:val="5B642395"/>
    <w:rsid w:val="5B92279F"/>
    <w:rsid w:val="5C1F7B63"/>
    <w:rsid w:val="5CF201C7"/>
    <w:rsid w:val="5D0170F8"/>
    <w:rsid w:val="5D9F7A70"/>
    <w:rsid w:val="5DA2411D"/>
    <w:rsid w:val="5DBD1C2E"/>
    <w:rsid w:val="5EA64543"/>
    <w:rsid w:val="5ED72EC7"/>
    <w:rsid w:val="5F7071F1"/>
    <w:rsid w:val="5FA16DBC"/>
    <w:rsid w:val="5FF05621"/>
    <w:rsid w:val="600D05EC"/>
    <w:rsid w:val="604F72B2"/>
    <w:rsid w:val="6058304E"/>
    <w:rsid w:val="60721EC1"/>
    <w:rsid w:val="609729F1"/>
    <w:rsid w:val="61007F16"/>
    <w:rsid w:val="613A1299"/>
    <w:rsid w:val="618C587F"/>
    <w:rsid w:val="61E15E0C"/>
    <w:rsid w:val="61FD74A4"/>
    <w:rsid w:val="62016642"/>
    <w:rsid w:val="62162861"/>
    <w:rsid w:val="62631346"/>
    <w:rsid w:val="628F62CC"/>
    <w:rsid w:val="62C64723"/>
    <w:rsid w:val="63BB75F4"/>
    <w:rsid w:val="63D70D05"/>
    <w:rsid w:val="640822A9"/>
    <w:rsid w:val="64497409"/>
    <w:rsid w:val="64D82159"/>
    <w:rsid w:val="655C738A"/>
    <w:rsid w:val="663D0F47"/>
    <w:rsid w:val="665F12E2"/>
    <w:rsid w:val="666639DC"/>
    <w:rsid w:val="66692401"/>
    <w:rsid w:val="666A592B"/>
    <w:rsid w:val="668C07BB"/>
    <w:rsid w:val="66C0638D"/>
    <w:rsid w:val="66FA115D"/>
    <w:rsid w:val="679B6B79"/>
    <w:rsid w:val="68006029"/>
    <w:rsid w:val="68DA7061"/>
    <w:rsid w:val="69601532"/>
    <w:rsid w:val="6AEB4080"/>
    <w:rsid w:val="6B63538F"/>
    <w:rsid w:val="6BB81A38"/>
    <w:rsid w:val="6BBF576B"/>
    <w:rsid w:val="6C4A7DF6"/>
    <w:rsid w:val="6D350803"/>
    <w:rsid w:val="6D5F551E"/>
    <w:rsid w:val="6DCF5DB7"/>
    <w:rsid w:val="6E405238"/>
    <w:rsid w:val="6E417E3D"/>
    <w:rsid w:val="6FC136C4"/>
    <w:rsid w:val="6FE912D4"/>
    <w:rsid w:val="70177396"/>
    <w:rsid w:val="70FF2802"/>
    <w:rsid w:val="713805EF"/>
    <w:rsid w:val="71B8334F"/>
    <w:rsid w:val="71E666B0"/>
    <w:rsid w:val="73127E7A"/>
    <w:rsid w:val="73306F2B"/>
    <w:rsid w:val="73962C6D"/>
    <w:rsid w:val="73A10864"/>
    <w:rsid w:val="73AD60DA"/>
    <w:rsid w:val="73D01629"/>
    <w:rsid w:val="73E62DC0"/>
    <w:rsid w:val="741036DE"/>
    <w:rsid w:val="754D15E1"/>
    <w:rsid w:val="75512B13"/>
    <w:rsid w:val="75AF117E"/>
    <w:rsid w:val="76DE6917"/>
    <w:rsid w:val="77A37E0F"/>
    <w:rsid w:val="782039A1"/>
    <w:rsid w:val="784E5A39"/>
    <w:rsid w:val="78B7258E"/>
    <w:rsid w:val="78FF2DF0"/>
    <w:rsid w:val="79174E4E"/>
    <w:rsid w:val="79E4201C"/>
    <w:rsid w:val="79FE35F0"/>
    <w:rsid w:val="7A1A22E4"/>
    <w:rsid w:val="7A5132AE"/>
    <w:rsid w:val="7A78757D"/>
    <w:rsid w:val="7A791F94"/>
    <w:rsid w:val="7AA32AF2"/>
    <w:rsid w:val="7AF222D4"/>
    <w:rsid w:val="7B0010BE"/>
    <w:rsid w:val="7B46360C"/>
    <w:rsid w:val="7B6F5C81"/>
    <w:rsid w:val="7C641078"/>
    <w:rsid w:val="7CCC7E8D"/>
    <w:rsid w:val="7CDB547E"/>
    <w:rsid w:val="7CE936D5"/>
    <w:rsid w:val="7D2F7871"/>
    <w:rsid w:val="7D7737C9"/>
    <w:rsid w:val="7E0D0216"/>
    <w:rsid w:val="7E143640"/>
    <w:rsid w:val="7E421FBA"/>
    <w:rsid w:val="7E6D673C"/>
    <w:rsid w:val="7EF54E79"/>
    <w:rsid w:val="7EF65555"/>
    <w:rsid w:val="7F0A0189"/>
    <w:rsid w:val="7F310EC4"/>
    <w:rsid w:val="7F512E59"/>
    <w:rsid w:val="7F5C1EA0"/>
    <w:rsid w:val="7F770F02"/>
    <w:rsid w:val="7F80748B"/>
    <w:rsid w:val="7FA257ED"/>
    <w:rsid w:val="7FAB770A"/>
    <w:rsid w:val="7FEF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839</Words>
  <Characters>865</Characters>
  <Lines>7</Lines>
  <Paragraphs>1</Paragraphs>
  <TotalTime>448</TotalTime>
  <ScaleCrop>false</ScaleCrop>
  <LinksUpToDate>false</LinksUpToDate>
  <CharactersWithSpaces>865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2020-04-12T03:40:47Z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