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31"/>
          <w:tab w:val="center" w:pos="4213"/>
        </w:tabs>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港股狂跌1000点，对A股有何影响</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eastAsia"/>
          <w:lang w:val="en-US" w:eastAsia="zh-CN"/>
        </w:rPr>
      </w:pPr>
      <w:r>
        <w:rPr>
          <w:rFonts w:hint="eastAsia"/>
          <w:lang w:val="en-US" w:eastAsia="zh-CN"/>
        </w:rPr>
        <w:t>受到美股上周五大跌、巴菲特清仓航空股以及对未来石油价格看空的影响。</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今日港股开盘，恒指暴跌1000点，其中中信股份、中国石油股份、中国石油化工股份以及太古股份领跌，跌幅均在6%以上。</w:t>
      </w:r>
    </w:p>
    <w:p>
      <w:pPr>
        <w:widowControl w:val="0"/>
        <w:numPr>
          <w:numId w:val="0"/>
        </w:numPr>
        <w:tabs>
          <w:tab w:val="left" w:pos="6925"/>
        </w:tabs>
        <w:ind w:leftChars="0"/>
        <w:jc w:val="left"/>
        <w:rPr>
          <w:rFonts w:hint="eastAsia"/>
          <w:b/>
          <w:bCs/>
          <w:lang w:val="en-US" w:eastAsia="zh-CN"/>
        </w:rPr>
      </w:pPr>
    </w:p>
    <w:p>
      <w:pPr>
        <w:widowControl w:val="0"/>
        <w:numPr>
          <w:numId w:val="0"/>
        </w:numPr>
        <w:tabs>
          <w:tab w:val="left" w:pos="6925"/>
        </w:tabs>
        <w:ind w:leftChars="0"/>
        <w:jc w:val="left"/>
        <w:rPr>
          <w:rFonts w:hint="default"/>
          <w:b/>
          <w:bCs/>
          <w:lang w:val="en-US" w:eastAsia="zh-CN"/>
        </w:rPr>
      </w:pPr>
      <w:r>
        <w:rPr>
          <w:rFonts w:hint="eastAsia"/>
          <w:b/>
          <w:bCs/>
          <w:lang w:val="en-US" w:eastAsia="zh-CN"/>
        </w:rPr>
        <w:t>1、为什么暴跌</w:t>
      </w: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5月3日，巴菲特在股东大会上表示伯克希尔公司已经清仓了美国四大航空公司，包括美国航空、达美航空、西南航空和美国联合航空的全部股票。</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巴菲特的清仓举措给市场带来了很大的利空。另外巴菲特表示无法确定未来油价是否会显著增长，后市难言乐观。</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巴菲特是著名投资人，他的预期会在很大程度上影响市场预期，当其他的投资者也看空的时候，就会出来避险。这就是港股市场暴跌的客观原因。</w:t>
      </w:r>
    </w:p>
    <w:p>
      <w:pPr>
        <w:widowControl w:val="0"/>
        <w:numPr>
          <w:ilvl w:val="0"/>
          <w:numId w:val="0"/>
        </w:numPr>
        <w:tabs>
          <w:tab w:val="left" w:pos="6925"/>
        </w:tabs>
        <w:ind w:leftChars="0"/>
        <w:jc w:val="left"/>
        <w:rPr>
          <w:rFonts w:hint="eastAsia"/>
          <w:b/>
          <w:bCs/>
          <w:lang w:val="en-US" w:eastAsia="zh-CN"/>
        </w:rPr>
      </w:pPr>
    </w:p>
    <w:p>
      <w:pPr>
        <w:widowControl w:val="0"/>
        <w:numPr>
          <w:ilvl w:val="0"/>
          <w:numId w:val="1"/>
        </w:numPr>
        <w:tabs>
          <w:tab w:val="left" w:pos="6925"/>
        </w:tabs>
        <w:ind w:leftChars="0"/>
        <w:jc w:val="left"/>
        <w:rPr>
          <w:rFonts w:hint="eastAsia"/>
          <w:b/>
          <w:bCs/>
          <w:lang w:val="en-US" w:eastAsia="zh-CN"/>
        </w:rPr>
      </w:pPr>
      <w:r>
        <w:rPr>
          <w:rFonts w:hint="eastAsia"/>
          <w:b/>
          <w:bCs/>
          <w:lang w:val="en-US" w:eastAsia="zh-CN"/>
        </w:rPr>
        <w:t>对A股的影响</w:t>
      </w:r>
    </w:p>
    <w:p>
      <w:pPr>
        <w:widowControl w:val="0"/>
        <w:numPr>
          <w:numId w:val="0"/>
        </w:numPr>
        <w:tabs>
          <w:tab w:val="left" w:pos="6925"/>
        </w:tabs>
        <w:jc w:val="left"/>
        <w:rPr>
          <w:rFonts w:hint="default"/>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美股最近一段时间处于跌幅，而鉴于上次特朗普的甩锅事件，A股大概率是周三开盘下跌的。</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想要大致判断假期内A股的走势，可以关注一个指数：A50股指期货。</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富时中国A50指数是由全球四大指数公司之一的富时指数公司推出的。他的指数成分股是50只，主要挑选A股市场上市值最大的50只股票：中国平安，招商银行、贵州茅台、兴业银行、美的集团以及万科等企业。</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目前A50指数的成分股市值大约占A股总市值的35%，所以这个指数的涨跌在一定程度上能代表A股市场的涨跌。</w:t>
      </w:r>
    </w:p>
    <w:p>
      <w:pPr>
        <w:widowControl w:val="0"/>
        <w:numPr>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而富时A50期货指数是以富时中国A50指数为标的的指数期货，在新加坡交易所上市。</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富时A50期货的特点是交易时间更长，在北京时间9：00——16：30会连续竞价，同时在北京时间17：00到次日凌晨4：45也会连续竞价。</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此外，在春节、五一、国庆等假期A股闭市的时候A50期货也是正常开盘的。</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一起来看看这个指数。虽然A50期货今天是微跌，但是1号的时候是暴跌。</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可以预料到：A股开盘也会大跌，有可能一次跌得比较爽。和2月3号类似。</w:t>
      </w:r>
    </w:p>
    <w:p>
      <w:pPr>
        <w:widowControl w:val="0"/>
        <w:numPr>
          <w:ilvl w:val="0"/>
          <w:numId w:val="0"/>
        </w:numPr>
        <w:tabs>
          <w:tab w:val="left" w:pos="6925"/>
        </w:tabs>
        <w:jc w:val="left"/>
        <w:rPr>
          <w:rFonts w:hint="eastAsia"/>
          <w:b w:val="0"/>
          <w:bCs w:val="0"/>
          <w:lang w:val="en-US" w:eastAsia="zh-CN"/>
        </w:rPr>
      </w:pPr>
    </w:p>
    <w:p>
      <w:pPr>
        <w:widowControl w:val="0"/>
        <w:numPr>
          <w:ilvl w:val="0"/>
          <w:numId w:val="1"/>
        </w:numPr>
        <w:tabs>
          <w:tab w:val="left" w:pos="6925"/>
        </w:tabs>
        <w:ind w:leftChars="0"/>
        <w:jc w:val="left"/>
        <w:rPr>
          <w:rFonts w:hint="eastAsia"/>
          <w:b/>
          <w:bCs/>
          <w:lang w:val="en-US" w:eastAsia="zh-CN"/>
        </w:rPr>
      </w:pPr>
      <w:r>
        <w:rPr>
          <w:rFonts w:hint="eastAsia"/>
          <w:b/>
          <w:bCs/>
          <w:lang w:val="en-US" w:eastAsia="zh-CN"/>
        </w:rPr>
        <w:t>如果大跌怎么应对</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default"/>
          <w:b/>
          <w:bCs/>
          <w:lang w:val="en-US" w:eastAsia="zh-CN"/>
        </w:rPr>
      </w:pPr>
      <w:r>
        <w:rPr>
          <w:rFonts w:hint="eastAsia"/>
          <w:b/>
          <w:bCs/>
          <w:lang w:val="en-US" w:eastAsia="zh-CN"/>
        </w:rPr>
        <w:t>当然是继续买或者持仓不动，大跌大买，小跌小买。</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而买的标的不能是白酒、食品饮料和医药。一次跌到前期2月3日或者3月18日的支撑位置除外。风险二师父已经提示过了，单独的白酒吃药行情体现了市场的避险情绪，牛市的时候一定会有券商金融板块的拉升。显然没有。</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说明机构和散户的预期都很差，散户已经被这几个月的暴跌教育的卧倒不动了。</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那后续没有资金进入，很难突破新高</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default"/>
          <w:b/>
          <w:bCs/>
          <w:lang w:val="en-US" w:eastAsia="zh-CN"/>
        </w:rPr>
      </w:pPr>
      <w:r>
        <w:rPr>
          <w:rFonts w:hint="eastAsia"/>
          <w:b/>
          <w:bCs/>
          <w:lang w:val="en-US" w:eastAsia="zh-CN"/>
        </w:rPr>
        <w:t>所以，不要贪婪，食品饮料和医药可以逐步清仓了。不要总是做过山车，从17年到现在大牛市没有来过，而其中板块牛市已经多轮，每一次都有30%到50%的利润，如果只想长期持有十年十倍，最终要么是选中了茅台十年十倍，要么是选中了类似上证这样的指数十年亏损。</w:t>
      </w:r>
      <w:bookmarkStart w:id="0" w:name="_GoBack"/>
      <w:bookmarkEnd w:id="0"/>
    </w:p>
    <w:p>
      <w:pPr>
        <w:widowControl w:val="0"/>
        <w:numPr>
          <w:ilvl w:val="0"/>
          <w:numId w:val="0"/>
        </w:numPr>
        <w:tabs>
          <w:tab w:val="left" w:pos="6925"/>
        </w:tabs>
        <w:jc w:val="left"/>
        <w:rPr>
          <w:rFonts w:hint="default"/>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C89683"/>
    <w:multiLevelType w:val="singleLevel"/>
    <w:tmpl w:val="9DC8968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A9085D"/>
    <w:rsid w:val="02E239C4"/>
    <w:rsid w:val="03D20F1C"/>
    <w:rsid w:val="050B05EE"/>
    <w:rsid w:val="05F572F4"/>
    <w:rsid w:val="060A2C12"/>
    <w:rsid w:val="06DE69FD"/>
    <w:rsid w:val="0A2433EB"/>
    <w:rsid w:val="0AB4483A"/>
    <w:rsid w:val="0B4D50F4"/>
    <w:rsid w:val="0B5B7CE7"/>
    <w:rsid w:val="0C1B3529"/>
    <w:rsid w:val="0D6F73B1"/>
    <w:rsid w:val="11133FC1"/>
    <w:rsid w:val="127B6F55"/>
    <w:rsid w:val="13181180"/>
    <w:rsid w:val="13B6251C"/>
    <w:rsid w:val="1403364B"/>
    <w:rsid w:val="16474FFB"/>
    <w:rsid w:val="16735DE6"/>
    <w:rsid w:val="16E22FF1"/>
    <w:rsid w:val="18044F34"/>
    <w:rsid w:val="18935CCD"/>
    <w:rsid w:val="18CA2E90"/>
    <w:rsid w:val="1AD406FE"/>
    <w:rsid w:val="1BA67309"/>
    <w:rsid w:val="1CDD60EE"/>
    <w:rsid w:val="1DC616E2"/>
    <w:rsid w:val="21102ED8"/>
    <w:rsid w:val="231F0F56"/>
    <w:rsid w:val="23BF2345"/>
    <w:rsid w:val="23F9384E"/>
    <w:rsid w:val="258B6BAF"/>
    <w:rsid w:val="27570117"/>
    <w:rsid w:val="27E56093"/>
    <w:rsid w:val="27FA44DD"/>
    <w:rsid w:val="285113D3"/>
    <w:rsid w:val="2A12773C"/>
    <w:rsid w:val="2B953C31"/>
    <w:rsid w:val="2B9D5038"/>
    <w:rsid w:val="2BC841ED"/>
    <w:rsid w:val="2C9D1589"/>
    <w:rsid w:val="2CED20F9"/>
    <w:rsid w:val="2D0D0C57"/>
    <w:rsid w:val="2D1B06D2"/>
    <w:rsid w:val="2DC61C2F"/>
    <w:rsid w:val="2E8A5566"/>
    <w:rsid w:val="2F2040B1"/>
    <w:rsid w:val="313010B1"/>
    <w:rsid w:val="3203164E"/>
    <w:rsid w:val="324815D8"/>
    <w:rsid w:val="326655FB"/>
    <w:rsid w:val="32984AAC"/>
    <w:rsid w:val="33DB6604"/>
    <w:rsid w:val="346F111F"/>
    <w:rsid w:val="37AE1B1D"/>
    <w:rsid w:val="380C111A"/>
    <w:rsid w:val="39F66875"/>
    <w:rsid w:val="3A764539"/>
    <w:rsid w:val="3AB466C9"/>
    <w:rsid w:val="3ADB16FE"/>
    <w:rsid w:val="3BBF4ED4"/>
    <w:rsid w:val="3BC6515E"/>
    <w:rsid w:val="3CAE43BC"/>
    <w:rsid w:val="3D307F55"/>
    <w:rsid w:val="453C68FA"/>
    <w:rsid w:val="465F2C3E"/>
    <w:rsid w:val="476928AC"/>
    <w:rsid w:val="478E1C2A"/>
    <w:rsid w:val="483950BB"/>
    <w:rsid w:val="4B9D5619"/>
    <w:rsid w:val="4D5915AF"/>
    <w:rsid w:val="4F0D709C"/>
    <w:rsid w:val="4F754F9E"/>
    <w:rsid w:val="4FC075C6"/>
    <w:rsid w:val="507F30EC"/>
    <w:rsid w:val="50850966"/>
    <w:rsid w:val="51BE16AB"/>
    <w:rsid w:val="51FB4D11"/>
    <w:rsid w:val="524328D5"/>
    <w:rsid w:val="52875F5D"/>
    <w:rsid w:val="553A454A"/>
    <w:rsid w:val="574C3BD9"/>
    <w:rsid w:val="582129D6"/>
    <w:rsid w:val="58777D39"/>
    <w:rsid w:val="591052A3"/>
    <w:rsid w:val="59DD782B"/>
    <w:rsid w:val="5B175C74"/>
    <w:rsid w:val="5B724EFA"/>
    <w:rsid w:val="5D45152F"/>
    <w:rsid w:val="5D600D9C"/>
    <w:rsid w:val="5DCA6590"/>
    <w:rsid w:val="5F580630"/>
    <w:rsid w:val="604F178D"/>
    <w:rsid w:val="60AE35DD"/>
    <w:rsid w:val="60B0427A"/>
    <w:rsid w:val="637F792E"/>
    <w:rsid w:val="63DC1350"/>
    <w:rsid w:val="64F73F82"/>
    <w:rsid w:val="65BB68D3"/>
    <w:rsid w:val="69B80FF6"/>
    <w:rsid w:val="6B0241A0"/>
    <w:rsid w:val="6B6B0B33"/>
    <w:rsid w:val="6B9553D0"/>
    <w:rsid w:val="6DEF1BA2"/>
    <w:rsid w:val="6E7D1EAC"/>
    <w:rsid w:val="6FE33D56"/>
    <w:rsid w:val="70EB7F4F"/>
    <w:rsid w:val="72990F0C"/>
    <w:rsid w:val="72C41E3B"/>
    <w:rsid w:val="740D1F75"/>
    <w:rsid w:val="746D2EBF"/>
    <w:rsid w:val="76C66C31"/>
    <w:rsid w:val="79FB14B1"/>
    <w:rsid w:val="7C044BD0"/>
    <w:rsid w:val="7C3E65C6"/>
    <w:rsid w:val="7CA6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10</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2020-05-04T09:46:25Z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