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震荡行情，再详细解答下网格交易需要注意的问题</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sz w:val="32"/>
          <w:szCs w:val="32"/>
        </w:rPr>
      </w:pPr>
      <w:r>
        <w:rPr>
          <w:rFonts w:ascii="仿宋" w:hAnsi="仿宋" w:eastAsia="仿宋"/>
          <w:sz w:val="32"/>
          <w:szCs w:val="32"/>
        </w:rPr>
        <w:drawing>
          <wp:inline distT="0" distB="0" distL="0" distR="0">
            <wp:extent cx="5274310" cy="2929890"/>
            <wp:effectExtent l="0" t="0" r="2540" b="3810"/>
            <wp:docPr id="1" name="图片 1" descr="D:\宣传工作\2018\自律定投，拥抱自由\3-二师父定投\3-学习进步\3-备用配图\稿定设计导出-20181216-19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宣传工作\2018\自律定投，拥抱自由\3-二师父定投\3-学习进步\3-备用配图\稿定设计导出-20181216-1904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930172"/>
                    </a:xfrm>
                    <a:prstGeom prst="rect">
                      <a:avLst/>
                    </a:prstGeom>
                    <a:noFill/>
                    <a:ln>
                      <a:noFill/>
                    </a:ln>
                  </pic:spPr>
                </pic:pic>
              </a:graphicData>
            </a:graphic>
          </wp:inline>
        </w:drawing>
      </w:r>
    </w:p>
    <w:p>
      <w:pPr>
        <w:rPr>
          <w:rFonts w:hint="default" w:ascii="仿宋" w:hAnsi="仿宋" w:eastAsia="仿宋"/>
          <w:sz w:val="26"/>
          <w:szCs w:val="26"/>
          <w:lang w:val="en-US" w:eastAsia="zh-CN"/>
        </w:rPr>
      </w:pPr>
      <w:r>
        <w:rPr>
          <w:rFonts w:hint="eastAsia" w:ascii="仿宋" w:hAnsi="仿宋" w:eastAsia="仿宋"/>
          <w:sz w:val="26"/>
          <w:szCs w:val="26"/>
          <w:lang w:val="en-US" w:eastAsia="zh-CN"/>
        </w:rPr>
        <w:t>网格交易已经介绍很多次了，还是有同学不明白，今天再次详细解答下网格交易的问题。</w:t>
      </w:r>
    </w:p>
    <w:p>
      <w:pPr>
        <w:rPr>
          <w:rFonts w:hint="eastAsia" w:ascii="仿宋" w:hAnsi="仿宋" w:eastAsia="仿宋"/>
          <w:sz w:val="26"/>
          <w:szCs w:val="26"/>
        </w:rPr>
      </w:pPr>
    </w:p>
    <w:p>
      <w:pPr>
        <w:numPr>
          <w:ilvl w:val="0"/>
          <w:numId w:val="1"/>
        </w:numPr>
        <w:rPr>
          <w:rFonts w:hint="eastAsia" w:ascii="仿宋" w:hAnsi="仿宋" w:eastAsia="仿宋"/>
          <w:b/>
          <w:bCs/>
          <w:sz w:val="26"/>
          <w:szCs w:val="26"/>
        </w:rPr>
      </w:pPr>
      <w:r>
        <w:rPr>
          <w:rFonts w:hint="eastAsia" w:ascii="仿宋" w:hAnsi="仿宋" w:eastAsia="仿宋"/>
          <w:b/>
          <w:bCs/>
          <w:sz w:val="26"/>
          <w:szCs w:val="26"/>
        </w:rPr>
        <w:t>为什么要使用网格交易策略？</w:t>
      </w:r>
    </w:p>
    <w:p>
      <w:pPr>
        <w:numPr>
          <w:ilvl w:val="0"/>
          <w:numId w:val="0"/>
        </w:numPr>
        <w:rPr>
          <w:rFonts w:hint="eastAsia" w:ascii="仿宋" w:hAnsi="仿宋" w:eastAsia="仿宋"/>
          <w:sz w:val="26"/>
          <w:szCs w:val="26"/>
        </w:rPr>
      </w:pPr>
    </w:p>
    <w:p>
      <w:pPr>
        <w:numPr>
          <w:ilvl w:val="0"/>
          <w:numId w:val="0"/>
        </w:numPr>
        <w:rPr>
          <w:rFonts w:hint="eastAsia" w:ascii="仿宋" w:hAnsi="仿宋" w:eastAsia="仿宋"/>
          <w:sz w:val="26"/>
          <w:szCs w:val="26"/>
        </w:rPr>
      </w:pPr>
      <w:r>
        <w:rPr>
          <w:rFonts w:hint="eastAsia" w:ascii="仿宋" w:hAnsi="仿宋" w:eastAsia="仿宋"/>
          <w:sz w:val="26"/>
          <w:szCs w:val="26"/>
        </w:rPr>
        <w:t>因为市场环境有三种情况：单边波动下跌，单边波动上涨，震荡横盘。如果碰到单边上涨行情，我们肯定是一直持有投资的指数基金到达牛市高估可以获得更多的利润。可是万一碰到震荡行情呢？这时候低买高卖的网格交易策略就更有效。</w:t>
      </w:r>
    </w:p>
    <w:p>
      <w:pPr>
        <w:rPr>
          <w:rFonts w:hint="eastAsia" w:ascii="仿宋" w:hAnsi="仿宋" w:eastAsia="仿宋"/>
          <w:sz w:val="26"/>
          <w:szCs w:val="26"/>
        </w:rPr>
      </w:pPr>
    </w:p>
    <w:p>
      <w:pPr>
        <w:rPr>
          <w:rFonts w:hint="default" w:ascii="仿宋" w:hAnsi="仿宋" w:eastAsia="仿宋"/>
          <w:sz w:val="26"/>
          <w:szCs w:val="26"/>
          <w:lang w:val="en-US" w:eastAsia="zh-CN"/>
        </w:rPr>
      </w:pPr>
      <w:r>
        <w:rPr>
          <w:rFonts w:hint="eastAsia" w:ascii="仿宋" w:hAnsi="仿宋" w:eastAsia="仿宋"/>
          <w:sz w:val="26"/>
          <w:szCs w:val="26"/>
        </w:rPr>
        <w:t>市场总是难以预测的，不过我们可以两手准备，一部分资金用网格做波段挣钱，一部分资金用来长期持有赚取单边上涨的盈利，二师父投资的资金就是应对多类市场行情的。无论市震荡的行情还是单边上涨的行情，我们都不会错过了。</w:t>
      </w:r>
      <w:r>
        <w:rPr>
          <w:rFonts w:hint="eastAsia" w:ascii="仿宋" w:hAnsi="仿宋" w:eastAsia="仿宋"/>
          <w:sz w:val="26"/>
          <w:szCs w:val="26"/>
          <w:lang w:val="en-US" w:eastAsia="zh-CN"/>
        </w:rPr>
        <w:t>从2018年到现在二师父已经在底部反复运用网格交易获利颇丰。</w:t>
      </w:r>
    </w:p>
    <w:p>
      <w:pPr>
        <w:rPr>
          <w:rFonts w:ascii="仿宋" w:hAnsi="仿宋" w:eastAsia="仿宋"/>
          <w:sz w:val="26"/>
          <w:szCs w:val="26"/>
        </w:rPr>
      </w:pPr>
    </w:p>
    <w:p>
      <w:pPr>
        <w:rPr>
          <w:rFonts w:hint="default" w:ascii="仿宋" w:hAnsi="仿宋" w:eastAsia="仿宋"/>
          <w:b/>
          <w:color w:val="000000" w:themeColor="text1"/>
          <w:sz w:val="26"/>
          <w:szCs w:val="26"/>
          <w:lang w:val="en-US" w:eastAsia="zh-CN"/>
          <w14:textFill>
            <w14:solidFill>
              <w14:schemeClr w14:val="tx1"/>
            </w14:solidFill>
          </w14:textFill>
        </w:rPr>
      </w:pPr>
      <w:r>
        <w:rPr>
          <w:rFonts w:hint="eastAsia" w:ascii="仿宋" w:hAnsi="仿宋" w:eastAsia="仿宋"/>
          <w:b/>
          <w:color w:val="000000" w:themeColor="text1"/>
          <w:sz w:val="26"/>
          <w:szCs w:val="26"/>
          <w:lang w:val="en-US" w:eastAsia="zh-CN"/>
          <w14:textFill>
            <w14:solidFill>
              <w14:schemeClr w14:val="tx1"/>
            </w14:solidFill>
          </w14:textFill>
        </w:rPr>
        <w:t>2</w:t>
      </w:r>
      <w:r>
        <w:rPr>
          <w:rFonts w:hint="eastAsia" w:ascii="仿宋" w:hAnsi="仿宋" w:eastAsia="仿宋"/>
          <w:b/>
          <w:color w:val="000000" w:themeColor="text1"/>
          <w:sz w:val="26"/>
          <w:szCs w:val="26"/>
          <w14:textFill>
            <w14:solidFill>
              <w14:schemeClr w14:val="tx1"/>
            </w14:solidFill>
          </w14:textFill>
        </w:rPr>
        <w:t>、</w:t>
      </w:r>
      <w:r>
        <w:rPr>
          <w:rFonts w:hint="eastAsia" w:ascii="仿宋" w:hAnsi="仿宋" w:eastAsia="仿宋"/>
          <w:b/>
          <w:color w:val="000000" w:themeColor="text1"/>
          <w:sz w:val="26"/>
          <w:szCs w:val="26"/>
          <w:lang w:val="en-US" w:eastAsia="zh-CN"/>
          <w14:textFill>
            <w14:solidFill>
              <w14:schemeClr w14:val="tx1"/>
            </w14:solidFill>
          </w14:textFill>
        </w:rPr>
        <w:t>哪些投资品种适合网格交易策略</w:t>
      </w:r>
    </w:p>
    <w:p>
      <w:pPr>
        <w:rPr>
          <w:rFonts w:ascii="仿宋" w:hAnsi="仿宋" w:eastAsia="仿宋"/>
          <w:color w:val="000000" w:themeColor="text1"/>
          <w:sz w:val="26"/>
          <w:szCs w:val="26"/>
          <w14:textFill>
            <w14:solidFill>
              <w14:schemeClr w14:val="tx1"/>
            </w14:solidFill>
          </w14:textFill>
        </w:rPr>
      </w:pPr>
    </w:p>
    <w:p>
      <w:pPr>
        <w:rPr>
          <w:rFonts w:hint="default"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波动越大的品种越适合网格交易。无波动不网格。</w:t>
      </w:r>
    </w:p>
    <w:p>
      <w:pPr>
        <w:rPr>
          <w:rFonts w:hint="eastAsia" w:ascii="仿宋" w:hAnsi="仿宋" w:eastAsia="仿宋"/>
          <w:color w:val="000000" w:themeColor="text1"/>
          <w:sz w:val="26"/>
          <w:szCs w:val="26"/>
          <w:lang w:val="en-US" w:eastAsia="zh-CN"/>
          <w14:textFill>
            <w14:solidFill>
              <w14:schemeClr w14:val="tx1"/>
            </w14:solidFill>
          </w14:textFill>
        </w:rPr>
      </w:pPr>
    </w:p>
    <w:p>
      <w:pPr>
        <w:rPr>
          <w:rFonts w:hint="default"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网格交易盈利原理核心就是指数价格的波动，本质是投机。那么对于波动越大的品种越好，对于银行这种涨不起来也跌不下去的品种就需要避免。</w:t>
      </w:r>
    </w:p>
    <w:p>
      <w:pPr>
        <w:rPr>
          <w:rFonts w:hint="eastAsia" w:ascii="仿宋" w:hAnsi="仿宋" w:eastAsia="仿宋"/>
          <w:color w:val="000000" w:themeColor="text1"/>
          <w:sz w:val="26"/>
          <w:szCs w:val="26"/>
          <w:lang w:val="en-US" w:eastAsia="zh-CN"/>
          <w14:textFill>
            <w14:solidFill>
              <w14:schemeClr w14:val="tx1"/>
            </w14:solidFill>
          </w14:textFill>
        </w:rPr>
      </w:pPr>
    </w:p>
    <w:p>
      <w:pPr>
        <w:rPr>
          <w:rFonts w:hint="default" w:ascii="仿宋" w:hAnsi="仿宋" w:eastAsia="仿宋"/>
          <w:b/>
          <w:color w:val="000000" w:themeColor="text1"/>
          <w:sz w:val="26"/>
          <w:szCs w:val="26"/>
          <w:lang w:val="en-US" w:eastAsia="zh-CN"/>
          <w14:textFill>
            <w14:solidFill>
              <w14:schemeClr w14:val="tx1"/>
            </w14:solidFill>
          </w14:textFill>
        </w:rPr>
      </w:pPr>
      <w:r>
        <w:rPr>
          <w:rFonts w:hint="eastAsia" w:ascii="仿宋" w:hAnsi="仿宋" w:eastAsia="仿宋"/>
          <w:b/>
          <w:color w:val="000000" w:themeColor="text1"/>
          <w:sz w:val="26"/>
          <w:szCs w:val="26"/>
          <w:lang w:val="en-US" w:eastAsia="zh-CN"/>
          <w14:textFill>
            <w14:solidFill>
              <w14:schemeClr w14:val="tx1"/>
            </w14:solidFill>
          </w14:textFill>
        </w:rPr>
        <w:t>3</w:t>
      </w:r>
      <w:r>
        <w:rPr>
          <w:rFonts w:hint="eastAsia" w:ascii="仿宋" w:hAnsi="仿宋" w:eastAsia="仿宋"/>
          <w:b/>
          <w:color w:val="000000" w:themeColor="text1"/>
          <w:sz w:val="26"/>
          <w:szCs w:val="26"/>
          <w14:textFill>
            <w14:solidFill>
              <w14:schemeClr w14:val="tx1"/>
            </w14:solidFill>
          </w14:textFill>
        </w:rPr>
        <w:t>、</w:t>
      </w:r>
      <w:r>
        <w:rPr>
          <w:rFonts w:hint="eastAsia" w:ascii="仿宋" w:hAnsi="仿宋" w:eastAsia="仿宋"/>
          <w:b/>
          <w:color w:val="000000" w:themeColor="text1"/>
          <w:sz w:val="26"/>
          <w:szCs w:val="26"/>
          <w:lang w:val="en-US" w:eastAsia="zh-CN"/>
          <w14:textFill>
            <w14:solidFill>
              <w14:schemeClr w14:val="tx1"/>
            </w14:solidFill>
          </w14:textFill>
        </w:rPr>
        <w:t>网格交易需要注意的问题</w:t>
      </w:r>
    </w:p>
    <w:p>
      <w:pPr>
        <w:rPr>
          <w:rFonts w:ascii="仿宋" w:hAnsi="仿宋" w:eastAsia="仿宋"/>
          <w:color w:val="000000" w:themeColor="text1"/>
          <w:sz w:val="26"/>
          <w:szCs w:val="26"/>
          <w14:textFill>
            <w14:solidFill>
              <w14:schemeClr w14:val="tx1"/>
            </w14:solidFill>
          </w14:textFill>
        </w:rPr>
      </w:pPr>
    </w:p>
    <w:p>
      <w:pPr>
        <w:rPr>
          <w:rFonts w:hint="default" w:ascii="仿宋" w:hAnsi="仿宋" w:eastAsia="仿宋"/>
          <w:color w:val="000000" w:themeColor="text1"/>
          <w:sz w:val="26"/>
          <w:szCs w:val="26"/>
          <w:lang w:val="en-US"/>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第一底仓不能动，这是基础。假设投资者有100万投资资金，70万底仓，最多拿出20万做做网格。不能再多了。要知道大幅盈利来源于超级牛市，所以底仓永远不能动。</w:t>
      </w:r>
    </w:p>
    <w:p>
      <w:pPr>
        <w:rPr>
          <w:rFonts w:hint="eastAsia" w:ascii="仿宋" w:hAnsi="仿宋" w:eastAsia="仿宋"/>
          <w:color w:val="000000" w:themeColor="text1"/>
          <w:sz w:val="26"/>
          <w:szCs w:val="26"/>
          <w14:textFill>
            <w14:solidFill>
              <w14:schemeClr w14:val="tx1"/>
            </w14:solidFill>
          </w14:textFill>
        </w:rPr>
      </w:pPr>
    </w:p>
    <w:p>
      <w:pPr>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底仓决定了你的心态，如果动了，那么心态不稳，下跌焦躁上涨焦虑，无法轻松地应对股市，所以切记网格只有投资资金的一小部分可以做。</w:t>
      </w:r>
    </w:p>
    <w:p>
      <w:pPr>
        <w:rPr>
          <w:rFonts w:hint="default" w:ascii="仿宋" w:hAnsi="仿宋" w:eastAsia="仿宋"/>
          <w:color w:val="000000" w:themeColor="text1"/>
          <w:sz w:val="26"/>
          <w:szCs w:val="26"/>
          <w:lang w:val="en-US" w:eastAsia="zh-CN"/>
          <w14:textFill>
            <w14:solidFill>
              <w14:schemeClr w14:val="tx1"/>
            </w14:solidFill>
          </w14:textFill>
        </w:rPr>
      </w:pPr>
    </w:p>
    <w:p>
      <w:pPr>
        <w:rPr>
          <w:rFonts w:hint="eastAsia"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第二防止频繁卖出，下跌加仓很少有人会一直加仓直到把仓位打满，然而人都会有落袋为安的心理，如果上涨一直卖出的话很快自己的资金都被卖完了，所以要按照节奏操作。</w:t>
      </w:r>
    </w:p>
    <w:p>
      <w:pPr>
        <w:rPr>
          <w:rFonts w:hint="eastAsia" w:ascii="仿宋" w:hAnsi="仿宋" w:eastAsia="仿宋"/>
          <w:color w:val="000000" w:themeColor="text1"/>
          <w:sz w:val="26"/>
          <w:szCs w:val="26"/>
          <w:lang w:val="en-US" w:eastAsia="zh-CN"/>
          <w14:textFill>
            <w14:solidFill>
              <w14:schemeClr w14:val="tx1"/>
            </w14:solidFill>
          </w14:textFill>
        </w:rPr>
      </w:pPr>
    </w:p>
    <w:p>
      <w:pPr>
        <w:numPr>
          <w:ilvl w:val="0"/>
          <w:numId w:val="2"/>
        </w:numPr>
        <w:rPr>
          <w:rFonts w:hint="eastAsia"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原油、黄金这类强周期品种不适合网格。周期性太强的品种，可能弱周期持续几年的时间，在弱周期的时候万一指数几年不涨，那么投资者的资金相当于就失去了增值的机会。所以超强周期的指数不能做网格。</w:t>
      </w:r>
    </w:p>
    <w:p>
      <w:pPr>
        <w:widowControl w:val="0"/>
        <w:numPr>
          <w:numId w:val="0"/>
        </w:numPr>
        <w:jc w:val="both"/>
        <w:rPr>
          <w:rFonts w:hint="default" w:ascii="仿宋" w:hAnsi="仿宋" w:eastAsia="仿宋"/>
          <w:color w:val="000000" w:themeColor="text1"/>
          <w:sz w:val="26"/>
          <w:szCs w:val="26"/>
          <w:lang w:val="en-US" w:eastAsia="zh-CN"/>
          <w14:textFill>
            <w14:solidFill>
              <w14:schemeClr w14:val="tx1"/>
            </w14:solidFill>
          </w14:textFill>
        </w:rPr>
      </w:pPr>
    </w:p>
    <w:p>
      <w:pPr>
        <w:widowControl w:val="0"/>
        <w:numPr>
          <w:numId w:val="0"/>
        </w:numPr>
        <w:jc w:val="both"/>
        <w:rPr>
          <w:rFonts w:hint="default"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第四、卖出要灵活，如果市场单边上涨，那么就可以更长期持有，耐心享受市场的趋势上扬，这样可以获得更多的利润。</w:t>
      </w:r>
    </w:p>
    <w:p>
      <w:pPr>
        <w:rPr>
          <w:rFonts w:ascii="仿宋" w:hAnsi="仿宋" w:eastAsia="仿宋"/>
          <w:color w:val="000000" w:themeColor="text1"/>
          <w:sz w:val="26"/>
          <w:szCs w:val="26"/>
          <w14:textFill>
            <w14:solidFill>
              <w14:schemeClr w14:val="tx1"/>
            </w14:solidFill>
          </w14:textFill>
        </w:rPr>
      </w:pPr>
    </w:p>
    <w:p>
      <w:pPr>
        <w:rPr>
          <w:rFonts w:hint="default" w:ascii="仿宋" w:hAnsi="仿宋" w:eastAsia="仿宋"/>
          <w:b/>
          <w:color w:val="000000" w:themeColor="text1"/>
          <w:sz w:val="26"/>
          <w:szCs w:val="26"/>
          <w:lang w:val="en-US" w:eastAsia="zh-CN"/>
          <w14:textFill>
            <w14:solidFill>
              <w14:schemeClr w14:val="tx1"/>
            </w14:solidFill>
          </w14:textFill>
        </w:rPr>
      </w:pPr>
      <w:r>
        <w:rPr>
          <w:rFonts w:hint="eastAsia" w:ascii="仿宋" w:hAnsi="仿宋" w:eastAsia="仿宋"/>
          <w:b/>
          <w:color w:val="000000" w:themeColor="text1"/>
          <w:sz w:val="26"/>
          <w:szCs w:val="26"/>
          <w:lang w:val="en-US" w:eastAsia="zh-CN"/>
          <w14:textFill>
            <w14:solidFill>
              <w14:schemeClr w14:val="tx1"/>
            </w14:solidFill>
          </w14:textFill>
        </w:rPr>
        <w:t>4</w:t>
      </w:r>
      <w:r>
        <w:rPr>
          <w:rFonts w:hint="eastAsia" w:ascii="仿宋" w:hAnsi="仿宋" w:eastAsia="仿宋"/>
          <w:b/>
          <w:color w:val="000000" w:themeColor="text1"/>
          <w:sz w:val="26"/>
          <w:szCs w:val="26"/>
          <w14:textFill>
            <w14:solidFill>
              <w14:schemeClr w14:val="tx1"/>
            </w14:solidFill>
          </w14:textFill>
        </w:rPr>
        <w:t>、</w:t>
      </w:r>
      <w:r>
        <w:rPr>
          <w:rFonts w:hint="eastAsia" w:ascii="仿宋" w:hAnsi="仿宋" w:eastAsia="仿宋"/>
          <w:b/>
          <w:color w:val="000000" w:themeColor="text1"/>
          <w:sz w:val="26"/>
          <w:szCs w:val="26"/>
          <w:lang w:val="en-US" w:eastAsia="zh-CN"/>
          <w14:textFill>
            <w14:solidFill>
              <w14:schemeClr w14:val="tx1"/>
            </w14:solidFill>
          </w14:textFill>
        </w:rPr>
        <w:t>没时间操作怎么办</w:t>
      </w:r>
    </w:p>
    <w:p>
      <w:pPr>
        <w:rPr>
          <w:rFonts w:ascii="仿宋" w:hAnsi="仿宋" w:eastAsia="仿宋"/>
          <w:b/>
          <w:color w:val="000000" w:themeColor="text1"/>
          <w:sz w:val="26"/>
          <w:szCs w:val="26"/>
          <w14:textFill>
            <w14:solidFill>
              <w14:schemeClr w14:val="tx1"/>
            </w14:solidFill>
          </w14:textFill>
        </w:rPr>
      </w:pPr>
    </w:p>
    <w:p>
      <w:pPr>
        <w:rPr>
          <w:rFonts w:hint="default"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上班族比较忙，没有时间为了赚几千块天天看软件，那么就可以选择智能交易，直接设置成交价格点，然后系统会自动买入卖出，实现躺赚。</w:t>
      </w:r>
    </w:p>
    <w:p>
      <w:pPr>
        <w:rPr>
          <w:rFonts w:hint="eastAsia" w:ascii="仿宋" w:hAnsi="仿宋" w:eastAsia="仿宋"/>
          <w:color w:val="000000" w:themeColor="text1"/>
          <w:sz w:val="26"/>
          <w:szCs w:val="26"/>
          <w:lang w:val="en-US" w:eastAsia="zh-CN"/>
          <w14:textFill>
            <w14:solidFill>
              <w14:schemeClr w14:val="tx1"/>
            </w14:solidFill>
          </w14:textFill>
        </w:rPr>
      </w:pPr>
    </w:p>
    <w:p>
      <w:pPr>
        <w:rPr>
          <w:rFonts w:hint="default"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然后市场由震荡转为牛市就停止网格，开始持仓不动，享受市场上涨的红利。最近行情不错，之前2650敢于加仓的朋友可以躺赚了，满仓的朋友记得收割利润了，钱不在多，有赚就好，仓位不足的朋友还是继续定投</w:t>
      </w:r>
      <w:bookmarkStart w:id="0" w:name="_GoBack"/>
      <w:bookmarkEnd w:id="0"/>
      <w:r>
        <w:rPr>
          <w:rFonts w:hint="eastAsia" w:ascii="仿宋" w:hAnsi="仿宋" w:eastAsia="仿宋"/>
          <w:b/>
          <w:bCs/>
          <w:color w:val="000000" w:themeColor="text1"/>
          <w:sz w:val="26"/>
          <w:szCs w:val="26"/>
          <w:lang w:val="en-US" w:eastAsia="zh-CN"/>
          <w14:textFill>
            <w14:solidFill>
              <w14:schemeClr w14:val="tx1"/>
            </w14:solidFill>
          </w14:textFill>
        </w:rPr>
        <w:t>。</w:t>
      </w:r>
    </w:p>
    <w:p>
      <w:pPr>
        <w:rPr>
          <w:rFonts w:hint="default" w:ascii="仿宋" w:hAnsi="仿宋" w:eastAsia="仿宋"/>
          <w:b/>
          <w:bCs/>
          <w:color w:val="000000" w:themeColor="text1"/>
          <w:sz w:val="26"/>
          <w:szCs w:val="26"/>
          <w:lang w:val="en-US" w:eastAsia="zh-CN"/>
          <w14:textFill>
            <w14:solidFill>
              <w14:schemeClr w14:val="tx1"/>
            </w14:solidFill>
          </w14:textFill>
        </w:rPr>
      </w:pPr>
    </w:p>
    <w:p>
      <w:pPr>
        <w:rPr>
          <w:rFonts w:ascii="仿宋" w:hAnsi="仿宋" w:eastAsia="仿宋"/>
          <w:color w:val="000000" w:themeColor="text1"/>
          <w:sz w:val="26"/>
          <w:szCs w:val="26"/>
          <w14:textFill>
            <w14:solidFill>
              <w14:schemeClr w14:val="tx1"/>
            </w14:solidFill>
          </w14:textFill>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06841"/>
    <w:multiLevelType w:val="singleLevel"/>
    <w:tmpl w:val="18406841"/>
    <w:lvl w:ilvl="0" w:tentative="0">
      <w:start w:val="3"/>
      <w:numFmt w:val="chineseCounting"/>
      <w:suff w:val="nothing"/>
      <w:lvlText w:val="第%1、"/>
      <w:lvlJc w:val="left"/>
      <w:rPr>
        <w:rFonts w:hint="eastAsia"/>
      </w:rPr>
    </w:lvl>
  </w:abstractNum>
  <w:abstractNum w:abstractNumId="1">
    <w:nsid w:val="22DB4761"/>
    <w:multiLevelType w:val="singleLevel"/>
    <w:tmpl w:val="22DB476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6537"/>
    <w:rsid w:val="000109C0"/>
    <w:rsid w:val="00017FBC"/>
    <w:rsid w:val="00023AAA"/>
    <w:rsid w:val="00030A93"/>
    <w:rsid w:val="0004346B"/>
    <w:rsid w:val="000749B6"/>
    <w:rsid w:val="00074ACE"/>
    <w:rsid w:val="0008697E"/>
    <w:rsid w:val="00086E92"/>
    <w:rsid w:val="000A5EAE"/>
    <w:rsid w:val="000A650A"/>
    <w:rsid w:val="000B0DFB"/>
    <w:rsid w:val="000B22AF"/>
    <w:rsid w:val="000C0140"/>
    <w:rsid w:val="000C76DA"/>
    <w:rsid w:val="000E0F9B"/>
    <w:rsid w:val="000E3CB4"/>
    <w:rsid w:val="000F07F5"/>
    <w:rsid w:val="0010044E"/>
    <w:rsid w:val="00101A3E"/>
    <w:rsid w:val="00116240"/>
    <w:rsid w:val="001331B2"/>
    <w:rsid w:val="001413A1"/>
    <w:rsid w:val="00141992"/>
    <w:rsid w:val="00147952"/>
    <w:rsid w:val="00152B63"/>
    <w:rsid w:val="001936E1"/>
    <w:rsid w:val="001A1731"/>
    <w:rsid w:val="001A7297"/>
    <w:rsid w:val="001A7D4F"/>
    <w:rsid w:val="001B7D31"/>
    <w:rsid w:val="001C1450"/>
    <w:rsid w:val="001F1FBE"/>
    <w:rsid w:val="001F68D1"/>
    <w:rsid w:val="00210883"/>
    <w:rsid w:val="0021767A"/>
    <w:rsid w:val="0023617A"/>
    <w:rsid w:val="002423D6"/>
    <w:rsid w:val="002541DF"/>
    <w:rsid w:val="00270B60"/>
    <w:rsid w:val="00272B90"/>
    <w:rsid w:val="002D0E6B"/>
    <w:rsid w:val="002E6FC2"/>
    <w:rsid w:val="002F11D1"/>
    <w:rsid w:val="002F3EAB"/>
    <w:rsid w:val="00317B9D"/>
    <w:rsid w:val="003336CA"/>
    <w:rsid w:val="00347E38"/>
    <w:rsid w:val="00351628"/>
    <w:rsid w:val="00362152"/>
    <w:rsid w:val="003A727A"/>
    <w:rsid w:val="003C112E"/>
    <w:rsid w:val="003C606C"/>
    <w:rsid w:val="003C76B1"/>
    <w:rsid w:val="003D2C92"/>
    <w:rsid w:val="003F591E"/>
    <w:rsid w:val="003F638F"/>
    <w:rsid w:val="00404857"/>
    <w:rsid w:val="00412618"/>
    <w:rsid w:val="0041620D"/>
    <w:rsid w:val="0042093B"/>
    <w:rsid w:val="0042094D"/>
    <w:rsid w:val="00423614"/>
    <w:rsid w:val="00423869"/>
    <w:rsid w:val="00447F78"/>
    <w:rsid w:val="0045642E"/>
    <w:rsid w:val="00463680"/>
    <w:rsid w:val="00493A6F"/>
    <w:rsid w:val="004B150F"/>
    <w:rsid w:val="004D0759"/>
    <w:rsid w:val="004E0C3B"/>
    <w:rsid w:val="004E13CD"/>
    <w:rsid w:val="004F1A96"/>
    <w:rsid w:val="004F42A0"/>
    <w:rsid w:val="004F5951"/>
    <w:rsid w:val="00504748"/>
    <w:rsid w:val="00517923"/>
    <w:rsid w:val="005216B0"/>
    <w:rsid w:val="0053376B"/>
    <w:rsid w:val="00536B09"/>
    <w:rsid w:val="00540C7E"/>
    <w:rsid w:val="00551911"/>
    <w:rsid w:val="00582D05"/>
    <w:rsid w:val="00596FA4"/>
    <w:rsid w:val="005A6F99"/>
    <w:rsid w:val="005A70FE"/>
    <w:rsid w:val="005A7A36"/>
    <w:rsid w:val="005B24F3"/>
    <w:rsid w:val="005C08BD"/>
    <w:rsid w:val="005D0F5B"/>
    <w:rsid w:val="005D210A"/>
    <w:rsid w:val="005D6A99"/>
    <w:rsid w:val="005D6C4C"/>
    <w:rsid w:val="005E0C31"/>
    <w:rsid w:val="005E4929"/>
    <w:rsid w:val="005E4FA7"/>
    <w:rsid w:val="005E7E37"/>
    <w:rsid w:val="005F2205"/>
    <w:rsid w:val="005F303D"/>
    <w:rsid w:val="005F4A87"/>
    <w:rsid w:val="005F5DC7"/>
    <w:rsid w:val="005F7244"/>
    <w:rsid w:val="006016FB"/>
    <w:rsid w:val="00634DC1"/>
    <w:rsid w:val="006542AD"/>
    <w:rsid w:val="006618A1"/>
    <w:rsid w:val="00670F3B"/>
    <w:rsid w:val="00676FB2"/>
    <w:rsid w:val="006776B6"/>
    <w:rsid w:val="00682517"/>
    <w:rsid w:val="00683CD8"/>
    <w:rsid w:val="006977E4"/>
    <w:rsid w:val="006A03C0"/>
    <w:rsid w:val="006B0E1C"/>
    <w:rsid w:val="006B59C6"/>
    <w:rsid w:val="006C3324"/>
    <w:rsid w:val="006D57B8"/>
    <w:rsid w:val="006E22A7"/>
    <w:rsid w:val="006F24BB"/>
    <w:rsid w:val="006F3FBA"/>
    <w:rsid w:val="006F5587"/>
    <w:rsid w:val="0070767F"/>
    <w:rsid w:val="0071308B"/>
    <w:rsid w:val="007156DE"/>
    <w:rsid w:val="00720247"/>
    <w:rsid w:val="00732F23"/>
    <w:rsid w:val="00737FBA"/>
    <w:rsid w:val="00744711"/>
    <w:rsid w:val="00766782"/>
    <w:rsid w:val="00771C27"/>
    <w:rsid w:val="00772CDB"/>
    <w:rsid w:val="00774D31"/>
    <w:rsid w:val="00774F24"/>
    <w:rsid w:val="00776FC5"/>
    <w:rsid w:val="007845A5"/>
    <w:rsid w:val="00794CEA"/>
    <w:rsid w:val="007A1A7C"/>
    <w:rsid w:val="007B33FA"/>
    <w:rsid w:val="007C32F4"/>
    <w:rsid w:val="007F224C"/>
    <w:rsid w:val="0081069F"/>
    <w:rsid w:val="00843D23"/>
    <w:rsid w:val="008507F7"/>
    <w:rsid w:val="00851457"/>
    <w:rsid w:val="008541E3"/>
    <w:rsid w:val="00863265"/>
    <w:rsid w:val="00873441"/>
    <w:rsid w:val="008749B0"/>
    <w:rsid w:val="00874EBF"/>
    <w:rsid w:val="008907DD"/>
    <w:rsid w:val="008A2450"/>
    <w:rsid w:val="008A560A"/>
    <w:rsid w:val="008A6F13"/>
    <w:rsid w:val="008B623E"/>
    <w:rsid w:val="008E61BA"/>
    <w:rsid w:val="008F5854"/>
    <w:rsid w:val="00907532"/>
    <w:rsid w:val="00923369"/>
    <w:rsid w:val="009352FB"/>
    <w:rsid w:val="009428F8"/>
    <w:rsid w:val="009502EE"/>
    <w:rsid w:val="009510A6"/>
    <w:rsid w:val="009640C8"/>
    <w:rsid w:val="00965B37"/>
    <w:rsid w:val="00966F82"/>
    <w:rsid w:val="00975025"/>
    <w:rsid w:val="00984B5B"/>
    <w:rsid w:val="009A7CE8"/>
    <w:rsid w:val="009A7E4A"/>
    <w:rsid w:val="009B065F"/>
    <w:rsid w:val="009B52E2"/>
    <w:rsid w:val="009B6727"/>
    <w:rsid w:val="009D1B3B"/>
    <w:rsid w:val="009D30DD"/>
    <w:rsid w:val="009F2155"/>
    <w:rsid w:val="00A00C9D"/>
    <w:rsid w:val="00A37BAE"/>
    <w:rsid w:val="00A977F9"/>
    <w:rsid w:val="00AA2349"/>
    <w:rsid w:val="00AA7324"/>
    <w:rsid w:val="00AB45DA"/>
    <w:rsid w:val="00AC4F78"/>
    <w:rsid w:val="00AD1731"/>
    <w:rsid w:val="00AE2DAE"/>
    <w:rsid w:val="00AE3E87"/>
    <w:rsid w:val="00B01CE1"/>
    <w:rsid w:val="00B023C3"/>
    <w:rsid w:val="00B061C9"/>
    <w:rsid w:val="00B156A2"/>
    <w:rsid w:val="00B232F4"/>
    <w:rsid w:val="00B53358"/>
    <w:rsid w:val="00B703EE"/>
    <w:rsid w:val="00B97DC2"/>
    <w:rsid w:val="00BA1964"/>
    <w:rsid w:val="00BB146B"/>
    <w:rsid w:val="00BB380B"/>
    <w:rsid w:val="00BB4248"/>
    <w:rsid w:val="00BC3194"/>
    <w:rsid w:val="00BD0DAE"/>
    <w:rsid w:val="00BD267E"/>
    <w:rsid w:val="00BD3B47"/>
    <w:rsid w:val="00C113C7"/>
    <w:rsid w:val="00C37A3D"/>
    <w:rsid w:val="00C4344F"/>
    <w:rsid w:val="00C5447B"/>
    <w:rsid w:val="00C62AFF"/>
    <w:rsid w:val="00C67794"/>
    <w:rsid w:val="00C72C76"/>
    <w:rsid w:val="00C847EF"/>
    <w:rsid w:val="00C91F16"/>
    <w:rsid w:val="00CA499A"/>
    <w:rsid w:val="00CB4974"/>
    <w:rsid w:val="00CE43CB"/>
    <w:rsid w:val="00CE4F39"/>
    <w:rsid w:val="00CF67BA"/>
    <w:rsid w:val="00CF783D"/>
    <w:rsid w:val="00D07570"/>
    <w:rsid w:val="00D07684"/>
    <w:rsid w:val="00D17B0F"/>
    <w:rsid w:val="00D17EA3"/>
    <w:rsid w:val="00D33BDA"/>
    <w:rsid w:val="00D35B92"/>
    <w:rsid w:val="00D36019"/>
    <w:rsid w:val="00D40256"/>
    <w:rsid w:val="00D41899"/>
    <w:rsid w:val="00D44E28"/>
    <w:rsid w:val="00D56851"/>
    <w:rsid w:val="00D57DB0"/>
    <w:rsid w:val="00D60D32"/>
    <w:rsid w:val="00D704F1"/>
    <w:rsid w:val="00D84E1C"/>
    <w:rsid w:val="00DA2219"/>
    <w:rsid w:val="00DA542F"/>
    <w:rsid w:val="00DC09AF"/>
    <w:rsid w:val="00DC2F35"/>
    <w:rsid w:val="00DD0B35"/>
    <w:rsid w:val="00DD7D01"/>
    <w:rsid w:val="00DE7374"/>
    <w:rsid w:val="00DF0853"/>
    <w:rsid w:val="00E31F4B"/>
    <w:rsid w:val="00E373F1"/>
    <w:rsid w:val="00E458E3"/>
    <w:rsid w:val="00E56771"/>
    <w:rsid w:val="00E56F51"/>
    <w:rsid w:val="00E76C2B"/>
    <w:rsid w:val="00E80684"/>
    <w:rsid w:val="00E8200D"/>
    <w:rsid w:val="00E86A29"/>
    <w:rsid w:val="00E86F49"/>
    <w:rsid w:val="00E87645"/>
    <w:rsid w:val="00E91E90"/>
    <w:rsid w:val="00E96B22"/>
    <w:rsid w:val="00EA1A73"/>
    <w:rsid w:val="00EA23D5"/>
    <w:rsid w:val="00EB32D2"/>
    <w:rsid w:val="00EB5B2E"/>
    <w:rsid w:val="00ED1679"/>
    <w:rsid w:val="00ED1E0F"/>
    <w:rsid w:val="00ED55B5"/>
    <w:rsid w:val="00F00829"/>
    <w:rsid w:val="00F051D9"/>
    <w:rsid w:val="00F12DCB"/>
    <w:rsid w:val="00F232C6"/>
    <w:rsid w:val="00F23C43"/>
    <w:rsid w:val="00F35A08"/>
    <w:rsid w:val="00F55EF3"/>
    <w:rsid w:val="00F678EE"/>
    <w:rsid w:val="00F74B79"/>
    <w:rsid w:val="00F83F57"/>
    <w:rsid w:val="00F87FD0"/>
    <w:rsid w:val="00FA0EDD"/>
    <w:rsid w:val="00FA6F6E"/>
    <w:rsid w:val="00FB1253"/>
    <w:rsid w:val="00FD062B"/>
    <w:rsid w:val="00FD346F"/>
    <w:rsid w:val="00FD4F48"/>
    <w:rsid w:val="00FD6D8E"/>
    <w:rsid w:val="00FE41EF"/>
    <w:rsid w:val="00FF4D62"/>
    <w:rsid w:val="0B8A6F00"/>
    <w:rsid w:val="1B6B16CC"/>
    <w:rsid w:val="1C184596"/>
    <w:rsid w:val="238D1ED1"/>
    <w:rsid w:val="31305FBA"/>
    <w:rsid w:val="45F861FD"/>
    <w:rsid w:val="497838A1"/>
    <w:rsid w:val="54BC386E"/>
    <w:rsid w:val="59B1219D"/>
    <w:rsid w:val="71A47CA6"/>
    <w:rsid w:val="7DB11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7A2B1A-5F55-42AA-9DD5-43CAD0F352B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156</Words>
  <Characters>895</Characters>
  <Lines>7</Lines>
  <Paragraphs>2</Paragraphs>
  <TotalTime>229</TotalTime>
  <ScaleCrop>false</ScaleCrop>
  <LinksUpToDate>false</LinksUpToDate>
  <CharactersWithSpaces>1049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2018-01-24T13:47:00Z</dcterms:created>
  <dc:creator>李恒樟</dc:creator>
  <cp:lastModifiedBy>微笑</cp:lastModifiedBy>
  <cp:lastPrinted>2018-07-30T17:47:00Z</cp:lastPrinted>
  <dcterms:modified xsi:type="dcterms:W3CDTF">2020-04-20T07:41:46Z</dcterms:modified>
  <cp:revision>368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