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北向资金又开始爆买了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北向资金是市场风向标，偶尔开开车。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时间最长的一次是2019年底的持续买入，带来了超级猛的春节行情。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今年6月也有一段时间北向资金持续买入，市场也是迎来了短期上涨。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这一次又开始看到了北向资金不一样的表现，按照过往规律，北向资金持续买入会带来短期行情。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市场集中表现在地产、保险、光伏这几大板块。主板上地产和保险表现最好，主要是受益于领导在金融街论坛上的讲话，要保持房地产稳定健康发展，并将恒大事件以及之前暴雷的房企作为个例，多次提到行业整体风险可控，有信心将风险控制在一定范围之内，避免系统性风险发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这给与了市场一定信心，保利地产已经从底部反弹了很多，比前期强势的医疗、白酒都要好，在A股市场投资永远是风格切换和轮动为主导，并没有什么永远的神。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如果有永远的神，那么就是以极端便宜的价格买入优质企业和基金，偶尔会翻车，比如买了教育ETF，不过长期全面配置一定会有更多的胜率。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三板里面光伏板块表现最好，市场资金是有限的，三板光伏表现好，主板稍微弱了一些。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今天科创板新股上市中自科技首日破发，盘中最大跌幅达到16%，收盘后也跌6%，这在A股是很少见的情况。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随着A股IPO制度的变化，未来打新的风险也会逐步加大，大家在参与股票投资和可转债投资的时候要对风险有清醒的认识。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以前A股很少破发主要是机构网下询价会抱团压价，如果机构报的价格过高，那么就会按照规则剔除，同时A股以前有打板炒新的传统，烂票都会有人接盘托底，所以A股上市以后很少破发，连板是常有的事情。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现在随着注册制的到来，情况逐步有所改变了，所以在打新的时候要适当评估自己的风险承受能力，对于业绩不佳的企业如果不能承受破发的话可以放弃申购。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747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2021-10-22T10:38:30Z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