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港股是机会还是坑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今年2月25日，香港财政司司长陈茂波表示，香港计划将股票交易印花税提高至0.13%。这意味着要上调30%。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上调印花税都是利空，一般牛市的时候会上调印花税，抑制上涨。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而熊市才会下调印花税，并停发新股释放大量流动性。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香港上调印花税主要是疫情对经济影响太大，同时恒指在20年表现尚可。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2020年是超级牛市，港股市场的成交额达到了1290亿港元，印花税收入成为了香港特区政府一项重要收入来源。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所以当GDP增速下滑的时候，港府司长将目光投向了股市印花税。和A股530事件一样。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07年5月30日，A股市场盛传上调印花税，财政部在凌晨宣布将印花税从千分之一调整到千分之三。市场狂泻，一周之内就从4300点跌到了3400点。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今年恒生虽然没有暴跌，但是恒生指数却连续阴跌了一年。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当前恒生指数的市净率即将跌破1，历史上仅有三次发生过破净事件。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分别是98年金融危机、08年金融危机、16年港股大跌的时候。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历史总是惊人的相似，那么现在是否可以投恒生呢？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看看香港GDP增速，2020受到疫情影响，为负6%，2021年第一季度GDP增速7.9%，大陆同比增速18.3%。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从历史发展角度看，香港已经过了天时和人和阶段，大陆的上海也逐步取代香港成为中国的金融中心，海南也有可能取代香港贸易中心的地位。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所以未来香港的发展可能跟不上过去40年。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从投资角度看，破净宽基指数分批买入会盈利，而同比与沪深300，恒生指数的收益率大概率会差一点，所以优先配置沪深300，恒生只能作为辅助。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2021-12-01T12:33:25Z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