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一日腰斩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受到《关于进一步减轻义务教育阶段学生作业负担和校外培训负担的意见》的影响，新东方今天盘中一度下跌达到40%，单日腰斩创造了其下跌历史记录。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早前对于好未来的分析，二师父说过，好未来还有没有未来取决于政策。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按照当前的形势看，好未来可能没有未来了，因为教育产业化加剧了内卷，同时阻碍了三胎政策的贯彻落实，所以为了更好地解决我国人口老龄化加剧，逆转人口出生率下降的趋势，教培企业势必遭遇重击。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按照最新规定：学科类培训机构一律不得上市融资，严禁资本化运作，上市公司不得通过股票市场融资投资学科类培训机构，不得通过发行股份或支付现金等方式购买学科类培训机构资产。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这是一记重拳，学科类培训机构要彻底凉凉。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投资的中概互联里面有部分持仓好未来，如果以后好未来持续下跌，也会被剔除中概互联持仓，这就是指数的优势，机构按照一定的指数编制规则汰弱留强。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除了中概互联，最近白酒和医疗跌幅也很大，CRO和医美领跌。这是个好事情，医疗板块目前在几大优质赛道估值不算高，如果跌下去了就可以慢慢开启定投了。而医美行业估值相对是比较高的。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投资要注意逻辑，产业成长空间没有了，任何的加仓和行动都只是扔钱，越跌越买仅仅适用于低估未来有成长空间的指数。并不是低估了越跌越买就可以盈利。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很显然，为了减负，推行三胎政策，课外培训遭遇严格打击以后，未来不可能有成长空间了，对于任何课外辅导机构，都不应该再进行投资。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如果自己对行业的成长空间没有精准的判断，可以优选宽基指数沪深300etf（510300）+双创50etf（159783）进行投资，无论政策怎么变化，只要中国经济长期向上发展，沪深300和双创50都会稳步上行。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54B71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796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2021-07-23T12:53:25Z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