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什么是reits基金，以及他的投资价值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hint="eastAsia"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422" w:firstLineChars="200"/>
        <w:jc w:val="center"/>
        <w:rPr>
          <w:rFonts w:hint="eastAsia" w:ascii="楷体" w:hAnsi="楷体" w:eastAsia="楷体"/>
          <w:b/>
          <w:szCs w:val="21"/>
        </w:rPr>
      </w:pPr>
    </w:p>
    <w:p>
      <w:p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/>
          <w:bCs/>
          <w:sz w:val="25"/>
          <w:szCs w:val="25"/>
          <w:lang w:val="en-US" w:eastAsia="zh-CN"/>
        </w:rPr>
        <w:t>Reits基金介绍：</w:t>
      </w:r>
    </w:p>
    <w:p>
      <w:p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Reits基金又叫做房地产信托基金，最早集资买房，获取出租收益，主要收益来源——租金。是除了房产、股票、债券之外的一类资产。</w:t>
      </w:r>
    </w:p>
    <w:p>
      <w:p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大部分reits基金，90%的租金收入，都会以基金分红的形式分给基金持有者，剩余的收益，用于日常维护，或者攒一攒等到价格合适再收购一些其他的商业物业。</w:t>
      </w:r>
    </w:p>
    <w:p>
      <w:pPr>
        <w:spacing w:line="160" w:lineRule="atLeast"/>
        <w:rPr>
          <w:rFonts w:hint="eastAsia" w:ascii="仿宋" w:hAnsi="仿宋" w:eastAsia="仿宋"/>
          <w:b/>
          <w:bCs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/>
          <w:bCs/>
          <w:sz w:val="25"/>
          <w:szCs w:val="25"/>
          <w:lang w:val="en-US" w:eastAsia="zh-CN"/>
        </w:rPr>
        <w:t>哪些Reits基金可以投资：</w:t>
      </w:r>
    </w:p>
    <w:p>
      <w:p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美国、香港、中国市场分别有几只：美国的VNQ，香港的领展、汇贤，A股之前有一只鹏华前海万科Reits。</w:t>
      </w:r>
    </w:p>
    <w:p>
      <w:p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这类基金的收益率一般和纯债收益率接近，年化6%左右，波动率大约在5%到25%之间，不同的产品波动不同，长期投资，能接受这个收益率是可以的。</w:t>
      </w:r>
    </w:p>
    <w:p>
      <w:pPr>
        <w:spacing w:line="160" w:lineRule="atLeast"/>
        <w:rPr>
          <w:rFonts w:hint="eastAsia" w:ascii="仿宋" w:hAnsi="仿宋" w:eastAsia="仿宋"/>
          <w:b/>
          <w:bCs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/>
          <w:bCs/>
          <w:sz w:val="25"/>
          <w:szCs w:val="25"/>
          <w:lang w:val="en-US" w:eastAsia="zh-CN"/>
        </w:rPr>
        <w:t>Reits的风险：</w:t>
      </w:r>
      <w:bookmarkStart w:id="0" w:name="_GoBack"/>
      <w:bookmarkEnd w:id="0"/>
    </w:p>
    <w:p>
      <w:pPr>
        <w:spacing w:line="160" w:lineRule="atLeast"/>
        <w:rPr>
          <w:rFonts w:hint="eastAsia" w:ascii="仿宋" w:hAnsi="仿宋" w:eastAsia="仿宋"/>
          <w:b w:val="0"/>
          <w:bCs w:val="0"/>
          <w:i w:val="0"/>
          <w:i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5"/>
          <w:szCs w:val="25"/>
          <w:lang w:val="en-US" w:eastAsia="zh-CN"/>
        </w:rPr>
        <w:t>Reits基金定价是用未来收益倒推出来的，如果定价在询价范围内还算靠谱，反之如果未来价格被炒作的虚高，当定价远远高于询价的时候，那么就要避开了，否则就有大跌等着你。</w:t>
      </w:r>
    </w:p>
    <w:p>
      <w:pPr>
        <w:spacing w:line="160" w:lineRule="atLeast"/>
        <w:rPr>
          <w:rFonts w:hint="default" w:ascii="仿宋" w:hAnsi="仿宋" w:eastAsia="仿宋"/>
          <w:b w:val="0"/>
          <w:bCs w:val="0"/>
          <w:i w:val="0"/>
          <w:i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sz w:val="25"/>
          <w:szCs w:val="25"/>
          <w:lang w:val="en-US" w:eastAsia="zh-CN"/>
        </w:rPr>
        <w:t>最近发行的9只Reits基金：</w:t>
      </w:r>
    </w:p>
    <w:p>
      <w:p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最近有9只战略配售基金，其中5只，上交所已经披露了相关公告，确定了询价时间和发行时间。</w:t>
      </w:r>
    </w:p>
    <w:p>
      <w:pPr>
        <w:numPr>
          <w:ilvl w:val="0"/>
          <w:numId w:val="1"/>
        </w:num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张江reits（508000），询价区间是2.78元/份——3.2元/份。</w:t>
      </w:r>
    </w:p>
    <w:p>
      <w:pPr>
        <w:numPr>
          <w:ilvl w:val="0"/>
          <w:numId w:val="1"/>
        </w:numPr>
        <w:spacing w:line="160" w:lineRule="atLeast"/>
        <w:rPr>
          <w:rFonts w:hint="default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浙江杭徽（508001），询价区间是8.27元/份——9.511元/份。</w:t>
      </w:r>
    </w:p>
    <w:p>
      <w:pPr>
        <w:numPr>
          <w:ilvl w:val="0"/>
          <w:numId w:val="1"/>
        </w:numPr>
        <w:spacing w:line="160" w:lineRule="atLeast"/>
        <w:rPr>
          <w:rFonts w:hint="default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首创水务（508006），询价区间是3.491元/份——4.015元/份。</w:t>
      </w:r>
    </w:p>
    <w:p>
      <w:pPr>
        <w:numPr>
          <w:ilvl w:val="0"/>
          <w:numId w:val="1"/>
        </w:numPr>
        <w:spacing w:line="160" w:lineRule="atLeast"/>
        <w:rPr>
          <w:rFonts w:hint="default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东吴苏园（508027），询价区间是3.558元/份——4.094元/份。</w:t>
      </w:r>
    </w:p>
    <w:p>
      <w:pPr>
        <w:numPr>
          <w:ilvl w:val="0"/>
          <w:numId w:val="1"/>
        </w:numPr>
        <w:spacing w:line="160" w:lineRule="atLeast"/>
        <w:rPr>
          <w:rFonts w:hint="default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普洛斯（508056），询价区间是3.7元/份——4.26元/份。</w:t>
      </w:r>
    </w:p>
    <w:p>
      <w:pPr>
        <w:numPr>
          <w:numId w:val="0"/>
        </w:numPr>
        <w:spacing w:line="160" w:lineRule="atLeast"/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5"/>
          <w:szCs w:val="25"/>
          <w:lang w:val="en-US" w:eastAsia="zh-CN"/>
        </w:rPr>
        <w:t>对于这几只，大家看到时候认购价格，31号发行，价格合理，如果能接受长期债券收益率，是可以投资的，否则就比别买了。</w:t>
      </w:r>
    </w:p>
    <w:p>
      <w:pPr>
        <w:numPr>
          <w:numId w:val="0"/>
        </w:numPr>
        <w:spacing w:line="160" w:lineRule="atLeast"/>
        <w:rPr>
          <w:rFonts w:hint="default" w:ascii="仿宋" w:hAnsi="仿宋" w:eastAsia="仿宋"/>
          <w:b w:val="0"/>
          <w:bCs w:val="0"/>
          <w:sz w:val="25"/>
          <w:szCs w:val="25"/>
          <w:lang w:val="en-US" w:eastAsia="zh-CN"/>
        </w:rPr>
      </w:pPr>
    </w:p>
    <w:p>
      <w:pPr>
        <w:spacing w:line="160" w:lineRule="atLeast"/>
        <w:rPr>
          <w:rFonts w:hint="default" w:ascii="仿宋" w:hAnsi="仿宋" w:eastAsia="仿宋"/>
          <w:b w:val="0"/>
          <w:bCs w:val="0"/>
          <w:sz w:val="25"/>
          <w:szCs w:val="25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81DE"/>
    <w:multiLevelType w:val="singleLevel"/>
    <w:tmpl w:val="3BE881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0782333B"/>
    <w:rsid w:val="07E473C4"/>
    <w:rsid w:val="0D0F2714"/>
    <w:rsid w:val="2BD10A01"/>
    <w:rsid w:val="4CE63DF2"/>
    <w:rsid w:val="4DD33ED9"/>
    <w:rsid w:val="61C63996"/>
    <w:rsid w:val="620B4AC5"/>
    <w:rsid w:val="6A0E3AF1"/>
    <w:rsid w:val="7E2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1338</TotalTime>
  <ScaleCrop>false</ScaleCrop>
  <LinksUpToDate>false</LinksUpToDate>
  <CharactersWithSpaces>394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2021-05-29T08:25:46Z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