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银行理财产品新规对投资的影响</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ind w:leftChars="0"/>
        <w:jc w:val="both"/>
        <w:rPr>
          <w:rFonts w:hint="eastAsia" w:ascii="仿宋" w:hAnsi="仿宋" w:eastAsia="仿宋"/>
          <w:b/>
          <w:bCs/>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昨天文章说了转债打新，有新关注的读者不知道如何打新，可以搜索下往期文章，关键词可转债，都有过详细讲解，包括如何开户，如何通过各种不同的平台进行申购，提高中签率的方法，中签之后如何缴款以及可转债上市如何卖出都有详细讲解。</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如果感觉还是不懂，可以给本文点个再看，如果再看数超过100，我再单独说说。</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可转债是非常优秀的投资标的，不仅解决了上市公司的融资问题，也给投资者参与市场提供了一种新渠道，可以多了解。</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不过不同粉丝朋友对转债的理解不同，有的粉丝没法理解转债的复杂条款，放弃转债投资，进而专注投资债券LOF基金或者转债ETF基金，都是不错的选择。</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今天要说的是中国银保监会、中国人民银行联合发布的关于规范现金管理类理财产品有关事项的通知。</w:t>
      </w:r>
    </w:p>
    <w:p>
      <w:pPr>
        <w:widowControl w:val="0"/>
        <w:numPr>
          <w:ilvl w:val="0"/>
          <w:numId w:val="0"/>
        </w:numPr>
        <w:jc w:val="both"/>
        <w:rPr>
          <w:rFonts w:hint="eastAsia" w:ascii="仿宋" w:hAnsi="仿宋" w:eastAsia="仿宋"/>
          <w:b/>
          <w:bCs/>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大家知道，银行理财产品过去监督管理不严格，投资标的也不完全透明，导致有的产品收益率很高，当然隐含风险也比较大。</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新规的目的是加强对商业银行、理财公司现金管理类产品的监督管理，保护投资者的合法权益。</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新规规定了现金管理类产品所能够投资的金融标的，也就是管理人只能从以下标的来构建投资组合，不能越过规定标的的范围。</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1"/>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可以投资现金。</w:t>
      </w:r>
    </w:p>
    <w:p>
      <w:pPr>
        <w:widowControl w:val="0"/>
        <w:numPr>
          <w:numId w:val="0"/>
        </w:numPr>
        <w:jc w:val="both"/>
        <w:rPr>
          <w:rFonts w:hint="default" w:ascii="仿宋" w:hAnsi="仿宋" w:eastAsia="仿宋"/>
          <w:b w:val="0"/>
          <w:bCs w:val="0"/>
          <w:sz w:val="24"/>
          <w:szCs w:val="24"/>
          <w:lang w:val="en-US" w:eastAsia="zh-CN"/>
        </w:rPr>
      </w:pPr>
    </w:p>
    <w:p>
      <w:pPr>
        <w:widowControl w:val="0"/>
        <w:numPr>
          <w:ilvl w:val="0"/>
          <w:numId w:val="1"/>
        </w:numPr>
        <w:ind w:left="0" w:leftChars="0" w:firstLine="0" w:firstLine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期限在1年以内的银行存款、债券回购、中央银行票据、同业存单。</w:t>
      </w:r>
    </w:p>
    <w:p>
      <w:pPr>
        <w:widowControl w:val="0"/>
        <w:numPr>
          <w:numId w:val="0"/>
        </w:numPr>
        <w:jc w:val="both"/>
        <w:rPr>
          <w:rFonts w:hint="default" w:ascii="仿宋" w:hAnsi="仿宋" w:eastAsia="仿宋"/>
          <w:b w:val="0"/>
          <w:bCs w:val="0"/>
          <w:sz w:val="24"/>
          <w:szCs w:val="24"/>
          <w:lang w:val="en-US" w:eastAsia="zh-CN"/>
        </w:rPr>
      </w:pPr>
    </w:p>
    <w:p>
      <w:pPr>
        <w:widowControl w:val="0"/>
        <w:numPr>
          <w:ilvl w:val="0"/>
          <w:numId w:val="1"/>
        </w:numPr>
        <w:ind w:left="0" w:leftChars="0" w:firstLine="0" w:firstLine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剩余期限在397天以内的债券、在银行间市场和证券交易所市场发行的资产支持证券；</w:t>
      </w:r>
    </w:p>
    <w:p>
      <w:pPr>
        <w:widowControl w:val="0"/>
        <w:numPr>
          <w:numId w:val="0"/>
        </w:numPr>
        <w:jc w:val="both"/>
        <w:rPr>
          <w:rFonts w:hint="default" w:ascii="仿宋" w:hAnsi="仿宋" w:eastAsia="仿宋"/>
          <w:b w:val="0"/>
          <w:bCs w:val="0"/>
          <w:sz w:val="24"/>
          <w:szCs w:val="24"/>
          <w:lang w:val="en-US" w:eastAsia="zh-CN"/>
        </w:rPr>
      </w:pPr>
    </w:p>
    <w:p>
      <w:pPr>
        <w:widowControl w:val="0"/>
        <w:numPr>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注意，剩余期限是衡量债券利率风险的其中一个指标，根据麦考利久期公式，影响债券利率风险的有四个因素：剩余期限、票面利率、利息支付方式和市场利率等。</w:t>
      </w:r>
    </w:p>
    <w:p>
      <w:pPr>
        <w:widowControl w:val="0"/>
        <w:numPr>
          <w:numId w:val="0"/>
        </w:numPr>
        <w:jc w:val="both"/>
        <w:rPr>
          <w:rFonts w:hint="eastAsia" w:ascii="仿宋" w:hAnsi="仿宋" w:eastAsia="仿宋"/>
          <w:b w:val="0"/>
          <w:bCs w:val="0"/>
          <w:sz w:val="24"/>
          <w:szCs w:val="24"/>
          <w:lang w:val="en-US" w:eastAsia="zh-CN"/>
        </w:rPr>
      </w:pPr>
    </w:p>
    <w:p>
      <w:pPr>
        <w:widowControl w:val="0"/>
        <w:numPr>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而剩余期限越长债券价格波动受到利率变化的影响越大，比如咱们投资的国债1619剩余期限就比较长，风险较大，按照新规这类债券就无法进入到理财产品的投资标的里面。</w:t>
      </w:r>
    </w:p>
    <w:p>
      <w:pPr>
        <w:widowControl w:val="0"/>
        <w:numPr>
          <w:numId w:val="0"/>
        </w:numPr>
        <w:jc w:val="both"/>
        <w:rPr>
          <w:rFonts w:hint="eastAsia" w:ascii="仿宋" w:hAnsi="仿宋" w:eastAsia="仿宋"/>
          <w:b w:val="0"/>
          <w:bCs w:val="0"/>
          <w:sz w:val="24"/>
          <w:szCs w:val="24"/>
          <w:lang w:val="en-US" w:eastAsia="zh-CN"/>
        </w:rPr>
      </w:pPr>
    </w:p>
    <w:p>
      <w:pPr>
        <w:widowControl w:val="0"/>
        <w:numPr>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这种规定相应地抑制了风险。</w:t>
      </w:r>
    </w:p>
    <w:p>
      <w:pPr>
        <w:widowControl w:val="0"/>
        <w:numPr>
          <w:numId w:val="0"/>
        </w:numPr>
        <w:jc w:val="both"/>
        <w:rPr>
          <w:rFonts w:hint="eastAsia" w:ascii="仿宋" w:hAnsi="仿宋" w:eastAsia="仿宋"/>
          <w:b w:val="0"/>
          <w:bCs w:val="0"/>
          <w:sz w:val="24"/>
          <w:szCs w:val="24"/>
          <w:lang w:val="en-US" w:eastAsia="zh-CN"/>
        </w:rPr>
      </w:pPr>
    </w:p>
    <w:p>
      <w:pPr>
        <w:widowControl w:val="0"/>
        <w:numPr>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同时现金管理类产品禁止投资以下金融产品：</w:t>
      </w:r>
    </w:p>
    <w:p>
      <w:pPr>
        <w:widowControl w:val="0"/>
        <w:numPr>
          <w:numId w:val="0"/>
        </w:numPr>
        <w:jc w:val="both"/>
        <w:rPr>
          <w:rFonts w:hint="eastAsia" w:ascii="仿宋" w:hAnsi="仿宋" w:eastAsia="仿宋"/>
          <w:b w:val="0"/>
          <w:bCs w:val="0"/>
          <w:sz w:val="24"/>
          <w:szCs w:val="24"/>
          <w:lang w:val="en-US" w:eastAsia="zh-CN"/>
        </w:rPr>
      </w:pPr>
    </w:p>
    <w:p>
      <w:pPr>
        <w:widowControl w:val="0"/>
        <w:numPr>
          <w:ilvl w:val="0"/>
          <w:numId w:val="2"/>
        </w:numPr>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股票；</w:t>
      </w:r>
    </w:p>
    <w:p>
      <w:pPr>
        <w:widowControl w:val="0"/>
        <w:numPr>
          <w:numId w:val="0"/>
        </w:numPr>
        <w:jc w:val="both"/>
        <w:rPr>
          <w:rFonts w:hint="eastAsia" w:ascii="仿宋" w:hAnsi="仿宋" w:eastAsia="仿宋"/>
          <w:b w:val="0"/>
          <w:bCs w:val="0"/>
          <w:sz w:val="24"/>
          <w:szCs w:val="24"/>
          <w:lang w:val="en-US" w:eastAsia="zh-CN"/>
        </w:rPr>
      </w:pPr>
    </w:p>
    <w:p>
      <w:pPr>
        <w:widowControl w:val="0"/>
        <w:numPr>
          <w:ilvl w:val="0"/>
          <w:numId w:val="2"/>
        </w:numPr>
        <w:ind w:left="0" w:leftChars="0" w:firstLine="0" w:firstLine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可转换债券、可交换债券；</w:t>
      </w:r>
    </w:p>
    <w:p>
      <w:pPr>
        <w:widowControl w:val="0"/>
        <w:numPr>
          <w:numId w:val="0"/>
        </w:numPr>
        <w:jc w:val="both"/>
        <w:rPr>
          <w:rFonts w:hint="default" w:ascii="仿宋" w:hAnsi="仿宋" w:eastAsia="仿宋"/>
          <w:b w:val="0"/>
          <w:bCs w:val="0"/>
          <w:sz w:val="24"/>
          <w:szCs w:val="24"/>
          <w:lang w:val="en-US" w:eastAsia="zh-CN"/>
        </w:rPr>
      </w:pPr>
    </w:p>
    <w:p>
      <w:pPr>
        <w:widowControl w:val="0"/>
        <w:numPr>
          <w:ilvl w:val="0"/>
          <w:numId w:val="2"/>
        </w:numPr>
        <w:ind w:left="0" w:leftChars="0" w:firstLine="0" w:firstLine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以定期存款利率为基准利率的浮动利率债券，已进入最后一个利率调整期除外</w:t>
      </w:r>
    </w:p>
    <w:p>
      <w:pPr>
        <w:widowControl w:val="0"/>
        <w:numPr>
          <w:numId w:val="0"/>
        </w:numPr>
        <w:jc w:val="both"/>
        <w:rPr>
          <w:rFonts w:hint="default" w:ascii="仿宋" w:hAnsi="仿宋" w:eastAsia="仿宋"/>
          <w:b w:val="0"/>
          <w:bCs w:val="0"/>
          <w:sz w:val="24"/>
          <w:szCs w:val="24"/>
          <w:lang w:val="en-US" w:eastAsia="zh-CN"/>
        </w:rPr>
      </w:pPr>
    </w:p>
    <w:p>
      <w:pPr>
        <w:widowControl w:val="0"/>
        <w:numPr>
          <w:ilvl w:val="0"/>
          <w:numId w:val="2"/>
        </w:numPr>
        <w:ind w:left="0" w:leftChars="0" w:firstLine="0" w:firstLine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信用等级在AA+以下的债券、资产支持证券。</w:t>
      </w:r>
    </w:p>
    <w:p>
      <w:pPr>
        <w:widowControl w:val="0"/>
        <w:numPr>
          <w:numId w:val="0"/>
        </w:numPr>
        <w:jc w:val="both"/>
        <w:rPr>
          <w:rFonts w:hint="default" w:ascii="仿宋" w:hAnsi="仿宋" w:eastAsia="仿宋"/>
          <w:b w:val="0"/>
          <w:bCs w:val="0"/>
          <w:sz w:val="24"/>
          <w:szCs w:val="24"/>
          <w:lang w:val="en-US" w:eastAsia="zh-CN"/>
        </w:rPr>
      </w:pPr>
    </w:p>
    <w:p>
      <w:pPr>
        <w:widowControl w:val="0"/>
        <w:numPr>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从新规规定来看，银行理财产品的净值波动会进一步降低，同时伴随而来的是收益率降低。从我个人买入银行理财产品的经验看，没有发生亏损的情况，当然历史上是有产品发生过短期亏损的。</w:t>
      </w:r>
    </w:p>
    <w:p>
      <w:pPr>
        <w:widowControl w:val="0"/>
        <w:numPr>
          <w:numId w:val="0"/>
        </w:numPr>
        <w:jc w:val="both"/>
        <w:rPr>
          <w:rFonts w:hint="eastAsia" w:ascii="仿宋" w:hAnsi="仿宋" w:eastAsia="仿宋"/>
          <w:b/>
          <w:bCs/>
          <w:sz w:val="24"/>
          <w:szCs w:val="24"/>
          <w:lang w:val="en-US" w:eastAsia="zh-CN"/>
        </w:rPr>
      </w:pPr>
      <w:bookmarkStart w:id="0" w:name="_GoBack"/>
    </w:p>
    <w:p>
      <w:pPr>
        <w:widowControl w:val="0"/>
        <w:numPr>
          <w:numId w:val="0"/>
        </w:numPr>
        <w:jc w:val="both"/>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新规发行后，大家购买银行理财产品会更加安心一些。</w:t>
      </w:r>
    </w:p>
    <w:p>
      <w:pPr>
        <w:widowControl w:val="0"/>
        <w:numPr>
          <w:numId w:val="0"/>
        </w:numPr>
        <w:jc w:val="both"/>
        <w:rPr>
          <w:rFonts w:hint="eastAsia" w:ascii="仿宋" w:hAnsi="仿宋" w:eastAsia="仿宋"/>
          <w:b/>
          <w:bCs/>
          <w:sz w:val="24"/>
          <w:szCs w:val="24"/>
          <w:lang w:val="en-US" w:eastAsia="zh-CN"/>
        </w:rPr>
      </w:pPr>
    </w:p>
    <w:p>
      <w:pPr>
        <w:widowControl w:val="0"/>
        <w:numPr>
          <w:numId w:val="0"/>
        </w:numPr>
        <w:jc w:val="both"/>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根据银保监会规定，新发的理财产品将要全部按照新规要求，对于之前已经募集的产品，将会在2022年之前进行整改。</w:t>
      </w:r>
    </w:p>
    <w:bookmarkEnd w:id="0"/>
    <w:p>
      <w:pPr>
        <w:widowControl w:val="0"/>
        <w:numPr>
          <w:numId w:val="0"/>
        </w:numPr>
        <w:jc w:val="both"/>
        <w:rPr>
          <w:rFonts w:hint="eastAsia" w:ascii="仿宋" w:hAnsi="仿宋" w:eastAsia="仿宋"/>
          <w:b w:val="0"/>
          <w:bCs w:val="0"/>
          <w:sz w:val="24"/>
          <w:szCs w:val="24"/>
          <w:lang w:val="en-US" w:eastAsia="zh-CN"/>
        </w:rPr>
      </w:pPr>
    </w:p>
    <w:p>
      <w:pPr>
        <w:widowControl w:val="0"/>
        <w:numPr>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我对这次新规的影响有如下两方面判断：</w:t>
      </w:r>
    </w:p>
    <w:p>
      <w:pPr>
        <w:widowControl w:val="0"/>
        <w:numPr>
          <w:numId w:val="0"/>
        </w:numPr>
        <w:jc w:val="both"/>
        <w:rPr>
          <w:rFonts w:hint="eastAsia" w:ascii="仿宋" w:hAnsi="仿宋" w:eastAsia="仿宋"/>
          <w:b w:val="0"/>
          <w:bCs w:val="0"/>
          <w:sz w:val="24"/>
          <w:szCs w:val="24"/>
          <w:lang w:val="en-US" w:eastAsia="zh-CN"/>
        </w:rPr>
      </w:pPr>
    </w:p>
    <w:p>
      <w:pPr>
        <w:widowControl w:val="0"/>
        <w:numPr>
          <w:ilvl w:val="0"/>
          <w:numId w:val="3"/>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继刚兑打破后，一些新型投资者不知道自己的资金往何处去，部分银行理财产品打着高收益的旗帜买入了一些收益高流动性和安全性差的投资标的，导致部分投资人大额资金发生回撤，而普通投资者缺乏应对能力，无法接受浮亏，从而与银行代销机构发生了巨大矛盾。</w:t>
      </w:r>
    </w:p>
    <w:p>
      <w:pPr>
        <w:widowControl w:val="0"/>
        <w:numPr>
          <w:numId w:val="0"/>
        </w:numPr>
        <w:jc w:val="both"/>
        <w:rPr>
          <w:rFonts w:hint="default" w:ascii="仿宋" w:hAnsi="仿宋" w:eastAsia="仿宋"/>
          <w:b w:val="0"/>
          <w:bCs w:val="0"/>
          <w:sz w:val="24"/>
          <w:szCs w:val="24"/>
          <w:lang w:val="en-US" w:eastAsia="zh-CN"/>
        </w:rPr>
      </w:pPr>
    </w:p>
    <w:p>
      <w:pPr>
        <w:widowControl w:val="0"/>
        <w:numPr>
          <w:numId w:val="0"/>
        </w:numPr>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新规的出台是为了让投资者更加安心地购买银行理财产品，获得低风险低收益。</w:t>
      </w:r>
    </w:p>
    <w:p>
      <w:pPr>
        <w:widowControl w:val="0"/>
        <w:numPr>
          <w:numId w:val="0"/>
        </w:numPr>
        <w:jc w:val="both"/>
        <w:rPr>
          <w:rFonts w:hint="eastAsia" w:ascii="仿宋" w:hAnsi="仿宋" w:eastAsia="仿宋"/>
          <w:b w:val="0"/>
          <w:bCs w:val="0"/>
          <w:sz w:val="24"/>
          <w:szCs w:val="24"/>
          <w:lang w:val="en-US" w:eastAsia="zh-CN"/>
        </w:rPr>
      </w:pPr>
    </w:p>
    <w:p>
      <w:pPr>
        <w:widowControl w:val="0"/>
        <w:numPr>
          <w:ilvl w:val="0"/>
          <w:numId w:val="3"/>
        </w:numPr>
        <w:ind w:left="0" w:leftChars="0" w:firstLine="0" w:firstLineChars="0"/>
        <w:jc w:val="both"/>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防住不炒已经连续提了5年，基本上目前房价增幅已经远远低于317新政之前，随着大额资金从房产的流出以及货币基金、银行理财产品收益率的持续降低，未来资金大概率往两方面流入，第一是股票市场，第二是央行发行的数字货币。</w:t>
      </w:r>
    </w:p>
    <w:p>
      <w:pPr>
        <w:widowControl w:val="0"/>
        <w:numPr>
          <w:numId w:val="0"/>
        </w:numPr>
        <w:jc w:val="both"/>
        <w:rPr>
          <w:rFonts w:hint="default" w:ascii="仿宋" w:hAnsi="仿宋" w:eastAsia="仿宋"/>
          <w:b w:val="0"/>
          <w:bCs w:val="0"/>
          <w:sz w:val="24"/>
          <w:szCs w:val="24"/>
          <w:lang w:val="en-US" w:eastAsia="zh-CN"/>
        </w:rPr>
      </w:pPr>
    </w:p>
    <w:p>
      <w:pPr>
        <w:widowControl w:val="0"/>
        <w:numPr>
          <w:numId w:val="0"/>
        </w:numPr>
        <w:jc w:val="both"/>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所以，股市还是要积极参与，在安全性、流动性以及收益性之间寻求一个平衡。比如安心组合是低收益性带来的高安全性和流动性，而乌龟计划和鳄鱼计划则是高收益性带来的低安全性和流动性。</w:t>
      </w:r>
    </w:p>
    <w:p>
      <w:pPr>
        <w:widowControl w:val="0"/>
        <w:numPr>
          <w:numId w:val="0"/>
        </w:numPr>
        <w:jc w:val="both"/>
        <w:rPr>
          <w:rFonts w:hint="eastAsia" w:ascii="仿宋" w:hAnsi="仿宋" w:eastAsia="仿宋"/>
          <w:b/>
          <w:bCs/>
          <w:sz w:val="24"/>
          <w:szCs w:val="24"/>
          <w:lang w:val="en-US" w:eastAsia="zh-CN"/>
        </w:rPr>
      </w:pPr>
    </w:p>
    <w:p>
      <w:pPr>
        <w:widowControl w:val="0"/>
        <w:numPr>
          <w:numId w:val="0"/>
        </w:numPr>
        <w:jc w:val="both"/>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这是一个不可能三角，未来股权投资时代全面到来，高手一定是在不可能三角之间寻求最佳平衡。在可能承受的风险范围之内尽可能多地配置指数基金和主动型股票基金。</w:t>
      </w: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p>
      <w:pPr>
        <w:widowControl w:val="0"/>
        <w:numPr>
          <w:ilvl w:val="0"/>
          <w:numId w:val="0"/>
        </w:numPr>
        <w:jc w:val="both"/>
        <w:rPr>
          <w:rFonts w:hint="eastAsia" w:ascii="仿宋" w:hAnsi="仿宋" w:eastAsia="仿宋"/>
          <w:b w:val="0"/>
          <w:bCs w:val="0"/>
          <w:sz w:val="24"/>
          <w:szCs w:val="24"/>
          <w:lang w:val="en-US" w:eastAsia="zh-CN"/>
        </w:rPr>
      </w:pPr>
    </w:p>
    <w:p>
      <w:pPr>
        <w:widowControl w:val="0"/>
        <w:numPr>
          <w:ilvl w:val="0"/>
          <w:numId w:val="0"/>
        </w:numPr>
        <w:jc w:val="both"/>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5C11A"/>
    <w:multiLevelType w:val="singleLevel"/>
    <w:tmpl w:val="94B5C11A"/>
    <w:lvl w:ilvl="0" w:tentative="0">
      <w:start w:val="1"/>
      <w:numFmt w:val="decimal"/>
      <w:suff w:val="nothing"/>
      <w:lvlText w:val="%1、"/>
      <w:lvlJc w:val="left"/>
    </w:lvl>
  </w:abstractNum>
  <w:abstractNum w:abstractNumId="1">
    <w:nsid w:val="5450465C"/>
    <w:multiLevelType w:val="singleLevel"/>
    <w:tmpl w:val="5450465C"/>
    <w:lvl w:ilvl="0" w:tentative="0">
      <w:start w:val="1"/>
      <w:numFmt w:val="decimal"/>
      <w:suff w:val="nothing"/>
      <w:lvlText w:val="%1、"/>
      <w:lvlJc w:val="left"/>
    </w:lvl>
  </w:abstractNum>
  <w:abstractNum w:abstractNumId="2">
    <w:nsid w:val="7F8AA276"/>
    <w:multiLevelType w:val="singleLevel"/>
    <w:tmpl w:val="7F8AA276"/>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63518A"/>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7C7A6B"/>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55E"/>
    <w:rsid w:val="057C0149"/>
    <w:rsid w:val="057F09BF"/>
    <w:rsid w:val="058461D0"/>
    <w:rsid w:val="058F398C"/>
    <w:rsid w:val="05905E73"/>
    <w:rsid w:val="059A28F2"/>
    <w:rsid w:val="059E3777"/>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680A88"/>
    <w:rsid w:val="06835C70"/>
    <w:rsid w:val="06883210"/>
    <w:rsid w:val="06A154EC"/>
    <w:rsid w:val="06A23472"/>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F087A"/>
    <w:rsid w:val="079F628D"/>
    <w:rsid w:val="07A03A0E"/>
    <w:rsid w:val="07AB53E9"/>
    <w:rsid w:val="07AD574A"/>
    <w:rsid w:val="07B24C9B"/>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832B0"/>
    <w:rsid w:val="08F62889"/>
    <w:rsid w:val="0909414C"/>
    <w:rsid w:val="090A4290"/>
    <w:rsid w:val="095C57B7"/>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DB3018"/>
    <w:rsid w:val="0DE05ED4"/>
    <w:rsid w:val="0DE2658E"/>
    <w:rsid w:val="0DE812A2"/>
    <w:rsid w:val="0DF2656A"/>
    <w:rsid w:val="0DF52DB0"/>
    <w:rsid w:val="0DFB1901"/>
    <w:rsid w:val="0E0A2FDE"/>
    <w:rsid w:val="0E0C677D"/>
    <w:rsid w:val="0E2279D0"/>
    <w:rsid w:val="0E2F173B"/>
    <w:rsid w:val="0E3279D8"/>
    <w:rsid w:val="0E34552D"/>
    <w:rsid w:val="0E4E705C"/>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5364EA"/>
    <w:rsid w:val="156529D8"/>
    <w:rsid w:val="156C3F70"/>
    <w:rsid w:val="156E7707"/>
    <w:rsid w:val="156F1811"/>
    <w:rsid w:val="15751B9E"/>
    <w:rsid w:val="15821320"/>
    <w:rsid w:val="158245A7"/>
    <w:rsid w:val="15872E09"/>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366DDB"/>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93784"/>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75B2A"/>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50822"/>
    <w:rsid w:val="22882926"/>
    <w:rsid w:val="22904810"/>
    <w:rsid w:val="22957879"/>
    <w:rsid w:val="229D0CD9"/>
    <w:rsid w:val="22A12AB1"/>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2E6D3D"/>
    <w:rsid w:val="27304FB2"/>
    <w:rsid w:val="27334F9A"/>
    <w:rsid w:val="273955BE"/>
    <w:rsid w:val="2740365F"/>
    <w:rsid w:val="27427CCE"/>
    <w:rsid w:val="27662144"/>
    <w:rsid w:val="277445EF"/>
    <w:rsid w:val="27C063D7"/>
    <w:rsid w:val="27C20C56"/>
    <w:rsid w:val="27C275EF"/>
    <w:rsid w:val="27CC391E"/>
    <w:rsid w:val="27D34038"/>
    <w:rsid w:val="27D84589"/>
    <w:rsid w:val="27E1030A"/>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E834A7"/>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75AF5"/>
    <w:rsid w:val="296A14BD"/>
    <w:rsid w:val="296C1832"/>
    <w:rsid w:val="29713A48"/>
    <w:rsid w:val="29741567"/>
    <w:rsid w:val="297F117B"/>
    <w:rsid w:val="298B3113"/>
    <w:rsid w:val="29944B09"/>
    <w:rsid w:val="29A06D4A"/>
    <w:rsid w:val="29A541E0"/>
    <w:rsid w:val="29A6761B"/>
    <w:rsid w:val="29B147C4"/>
    <w:rsid w:val="29B23BEE"/>
    <w:rsid w:val="29B70EB2"/>
    <w:rsid w:val="29BD4870"/>
    <w:rsid w:val="29C56964"/>
    <w:rsid w:val="29CD7205"/>
    <w:rsid w:val="29D63F1C"/>
    <w:rsid w:val="29E3292C"/>
    <w:rsid w:val="29ED3690"/>
    <w:rsid w:val="29EE01A6"/>
    <w:rsid w:val="2A010010"/>
    <w:rsid w:val="2A277785"/>
    <w:rsid w:val="2A324F94"/>
    <w:rsid w:val="2A4F4CE0"/>
    <w:rsid w:val="2A564668"/>
    <w:rsid w:val="2A5D7118"/>
    <w:rsid w:val="2A5D7639"/>
    <w:rsid w:val="2A6D250D"/>
    <w:rsid w:val="2A6D4560"/>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A77BAE"/>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0B6965"/>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612D7"/>
    <w:rsid w:val="32E85384"/>
    <w:rsid w:val="32E94403"/>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59561D"/>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E7DA7"/>
    <w:rsid w:val="39B11776"/>
    <w:rsid w:val="39B20E0B"/>
    <w:rsid w:val="39B764AB"/>
    <w:rsid w:val="39B76C4F"/>
    <w:rsid w:val="39B94B32"/>
    <w:rsid w:val="39C0785C"/>
    <w:rsid w:val="39C876E1"/>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9347F"/>
    <w:rsid w:val="3A4A5C22"/>
    <w:rsid w:val="3A5F6ED4"/>
    <w:rsid w:val="3A63419B"/>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227A79"/>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0244BB"/>
    <w:rsid w:val="3D21016F"/>
    <w:rsid w:val="3D244D7F"/>
    <w:rsid w:val="3D2D4FEE"/>
    <w:rsid w:val="3D2E498F"/>
    <w:rsid w:val="3D4040DE"/>
    <w:rsid w:val="3D415DED"/>
    <w:rsid w:val="3D543D75"/>
    <w:rsid w:val="3D5D16B3"/>
    <w:rsid w:val="3D656D11"/>
    <w:rsid w:val="3D760A5A"/>
    <w:rsid w:val="3D78177E"/>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35ED9"/>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C1ABE"/>
    <w:rsid w:val="420A0762"/>
    <w:rsid w:val="420A1807"/>
    <w:rsid w:val="42111700"/>
    <w:rsid w:val="4221424D"/>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F351A"/>
    <w:rsid w:val="42F015AF"/>
    <w:rsid w:val="42F10FA9"/>
    <w:rsid w:val="42F44AFB"/>
    <w:rsid w:val="4301680C"/>
    <w:rsid w:val="43073C6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DE214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01E06"/>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44EE8"/>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067B4"/>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956A86"/>
    <w:rsid w:val="53A34439"/>
    <w:rsid w:val="53A936FF"/>
    <w:rsid w:val="53A966BB"/>
    <w:rsid w:val="53B05C9D"/>
    <w:rsid w:val="53E21881"/>
    <w:rsid w:val="53EF0B87"/>
    <w:rsid w:val="53EF1A7C"/>
    <w:rsid w:val="53F956AC"/>
    <w:rsid w:val="5407673C"/>
    <w:rsid w:val="540F3DAA"/>
    <w:rsid w:val="541337EA"/>
    <w:rsid w:val="54181F90"/>
    <w:rsid w:val="54210D56"/>
    <w:rsid w:val="54287165"/>
    <w:rsid w:val="54295C04"/>
    <w:rsid w:val="54345D41"/>
    <w:rsid w:val="5438500A"/>
    <w:rsid w:val="543A2A79"/>
    <w:rsid w:val="54482128"/>
    <w:rsid w:val="544E5D82"/>
    <w:rsid w:val="545D1790"/>
    <w:rsid w:val="546E09ED"/>
    <w:rsid w:val="5473434B"/>
    <w:rsid w:val="54754DC3"/>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D75A8"/>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C1654"/>
    <w:rsid w:val="587E2A06"/>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6EB3"/>
    <w:rsid w:val="5A711E5F"/>
    <w:rsid w:val="5A782B7D"/>
    <w:rsid w:val="5A7B71A3"/>
    <w:rsid w:val="5A8F58A9"/>
    <w:rsid w:val="5A921A3D"/>
    <w:rsid w:val="5A9A7BBF"/>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694027"/>
    <w:rsid w:val="5B717019"/>
    <w:rsid w:val="5B720ACB"/>
    <w:rsid w:val="5B774EEB"/>
    <w:rsid w:val="5B7C7A82"/>
    <w:rsid w:val="5B877C1D"/>
    <w:rsid w:val="5B8848DD"/>
    <w:rsid w:val="5B8A108F"/>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AA5759"/>
    <w:rsid w:val="5EB6526B"/>
    <w:rsid w:val="5EBA4DFB"/>
    <w:rsid w:val="5EC172F6"/>
    <w:rsid w:val="5ED67EDC"/>
    <w:rsid w:val="5EE93F64"/>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740ED"/>
    <w:rsid w:val="61185FAE"/>
    <w:rsid w:val="6120581D"/>
    <w:rsid w:val="612304D0"/>
    <w:rsid w:val="616210E0"/>
    <w:rsid w:val="616A692E"/>
    <w:rsid w:val="616C4D14"/>
    <w:rsid w:val="617015F2"/>
    <w:rsid w:val="61767E15"/>
    <w:rsid w:val="61805745"/>
    <w:rsid w:val="61817204"/>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3186E"/>
    <w:rsid w:val="63FA7426"/>
    <w:rsid w:val="63FB6C81"/>
    <w:rsid w:val="64027FBA"/>
    <w:rsid w:val="640F4522"/>
    <w:rsid w:val="64136A24"/>
    <w:rsid w:val="641D4322"/>
    <w:rsid w:val="64224C0D"/>
    <w:rsid w:val="64406FEC"/>
    <w:rsid w:val="644218F1"/>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379E5"/>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1DDA"/>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A4344"/>
    <w:rsid w:val="69E556F0"/>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C0A85"/>
    <w:rsid w:val="6EE5737A"/>
    <w:rsid w:val="6EEA45AC"/>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A5464"/>
    <w:rsid w:val="6F9D737F"/>
    <w:rsid w:val="6F9E3C87"/>
    <w:rsid w:val="6FA37AEC"/>
    <w:rsid w:val="6FA85F1A"/>
    <w:rsid w:val="6FBF5C8C"/>
    <w:rsid w:val="6FC537B8"/>
    <w:rsid w:val="6FCE18F9"/>
    <w:rsid w:val="6FD0798C"/>
    <w:rsid w:val="6FF75F07"/>
    <w:rsid w:val="70041A5E"/>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3288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34247"/>
    <w:rsid w:val="7C935C95"/>
    <w:rsid w:val="7C963390"/>
    <w:rsid w:val="7C967E4C"/>
    <w:rsid w:val="7C9F63EE"/>
    <w:rsid w:val="7CA81451"/>
    <w:rsid w:val="7CB05CB4"/>
    <w:rsid w:val="7CBA6E58"/>
    <w:rsid w:val="7CBC3B52"/>
    <w:rsid w:val="7CC00E5F"/>
    <w:rsid w:val="7CC1137B"/>
    <w:rsid w:val="7CCC5E27"/>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396</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2021-06-15T12:59:12Z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