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震荡市场，这些赛道和基金值得重点关注</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当前震荡市场，谨记三原则：勿急躁、勿乱动、勿离场。</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在投资的时候选择比努力重要，要在正确的赛道上定投积累，选择了错误的赛道只会南辕北辙，投入越多，沉没成本越多。</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今天重点介绍几个值得关注的赛道和基金。</w:t>
      </w:r>
    </w:p>
    <w:p>
      <w:pPr>
        <w:widowControl w:val="0"/>
        <w:numPr>
          <w:ilvl w:val="0"/>
          <w:numId w:val="0"/>
        </w:numPr>
        <w:tabs>
          <w:tab w:val="left" w:pos="6925"/>
        </w:tabs>
        <w:jc w:val="left"/>
        <w:rPr>
          <w:rFonts w:hint="eastAsia"/>
          <w:b w:val="0"/>
          <w:bCs w:val="0"/>
          <w:lang w:val="en-US" w:eastAsia="zh-CN"/>
        </w:rPr>
      </w:pPr>
    </w:p>
    <w:p>
      <w:pPr>
        <w:widowControl w:val="0"/>
        <w:numPr>
          <w:ilvl w:val="0"/>
          <w:numId w:val="1"/>
        </w:numPr>
        <w:tabs>
          <w:tab w:val="left" w:pos="6925"/>
        </w:tabs>
        <w:jc w:val="left"/>
        <w:rPr>
          <w:rFonts w:hint="eastAsia"/>
          <w:b/>
          <w:bCs/>
          <w:lang w:val="en-US" w:eastAsia="zh-CN"/>
        </w:rPr>
      </w:pPr>
      <w:r>
        <w:rPr>
          <w:rFonts w:hint="eastAsia"/>
          <w:b/>
          <w:bCs/>
          <w:lang w:val="en-US" w:eastAsia="zh-CN"/>
        </w:rPr>
        <w:t>食品饮料</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这是普通投资者的必选项。不管是美股还是A股，消费都是长牛股的集中地，美国的可口可乐，中国的茅台，他们的增长率毋庸置疑。</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未来消费行业需求处于一个平稳阶段，主要是行业寡头垄断和消费观念的转变从而形成品牌消费。</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集中的四大赛道是白酒、调味品、乳制品和肉制品。</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白酒赛道有中证白酒指数，对应招商中证白酒指数基金，这是一只分级基金，可以等待今年分级基金转型以后再做选择。</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场内的中证酒ETF主要是白酒和部分啤酒——青岛啤酒的集合，也是投资白酒的优质选择。</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白酒指数适合深度回调的时候定投，低估区域的时候建立底仓。</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在这里要区别低估和便宜，在3月份白酒短暂低估时间，很多人说白酒没有低估，主要是看着白酒指数比18年贵很多。这是投资的误区。</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低估不是看价格，也不仅仅看市盈率，低估的本质在于一家企业未来永续经营年份的自由现金流折现的总和价值是高于现在的市值。</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当然，如果企业未来破产清算，那么就是企业未来永续经营年份自由现金流折现加上企业的破产清算价值。</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场外有一个食品饮料指数对应的基金，持仓股票大部分是白酒股票，也可以作为配置白酒的选择。</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第二个基金是消费类基金，消费ETF和汇添富消费ETF联接基金，这个基金主要是大类消费企业的集合。</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两会政府工作报告透漏信号：接下来中央会带头过紧日子，不会大力通过基建来拉动经济，主要是刺激消费。消费板块值得长期关注和持有，这是A股少有的值得长期持有的板块。</w:t>
      </w:r>
    </w:p>
    <w:p>
      <w:pPr>
        <w:widowControl w:val="0"/>
        <w:numPr>
          <w:ilvl w:val="0"/>
          <w:numId w:val="0"/>
        </w:numPr>
        <w:tabs>
          <w:tab w:val="left" w:pos="6925"/>
        </w:tabs>
        <w:jc w:val="left"/>
        <w:rPr>
          <w:rFonts w:hint="eastAsia"/>
          <w:b w:val="0"/>
          <w:bCs w:val="0"/>
          <w:lang w:val="en-US" w:eastAsia="zh-CN"/>
        </w:rPr>
      </w:pPr>
    </w:p>
    <w:p>
      <w:pPr>
        <w:widowControl w:val="0"/>
        <w:numPr>
          <w:ilvl w:val="0"/>
          <w:numId w:val="1"/>
        </w:numPr>
        <w:tabs>
          <w:tab w:val="left" w:pos="6925"/>
        </w:tabs>
        <w:ind w:left="0" w:leftChars="0" w:firstLine="0" w:firstLineChars="0"/>
        <w:jc w:val="left"/>
        <w:rPr>
          <w:rFonts w:hint="eastAsia"/>
          <w:b/>
          <w:bCs/>
          <w:lang w:val="en-US" w:eastAsia="zh-CN"/>
        </w:rPr>
      </w:pPr>
      <w:r>
        <w:rPr>
          <w:rFonts w:hint="eastAsia"/>
          <w:b/>
          <w:bCs/>
          <w:lang w:val="en-US" w:eastAsia="zh-CN"/>
        </w:rPr>
        <w:t>家用电器</w:t>
      </w:r>
    </w:p>
    <w:p>
      <w:pPr>
        <w:widowControl w:val="0"/>
        <w:numPr>
          <w:numId w:val="0"/>
        </w:numPr>
        <w:tabs>
          <w:tab w:val="left" w:pos="6925"/>
        </w:tabs>
        <w:jc w:val="left"/>
        <w:rPr>
          <w:rFonts w:hint="default"/>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家用电器板块主要是白色家电，比如空调、冰箱和洗衣机，而黑色家电电视机基本上没有特别大的市场了。</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目前行业竞争格局稳定，格力和美的两家龙头企业竞争，新增需求可持续，房产竣工以及家电使用寿命到期或者产品升级都会带来一定的需求。</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目前家电行业比较低迷，在低位布局，房产市场景气周期来临，或者政策推动，都会迎来家电行业的稳定增长。</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家用电器对应的基金是场内家电ETF。</w:t>
      </w:r>
    </w:p>
    <w:p>
      <w:pPr>
        <w:widowControl w:val="0"/>
        <w:numPr>
          <w:numId w:val="0"/>
        </w:numPr>
        <w:tabs>
          <w:tab w:val="left" w:pos="6925"/>
        </w:tabs>
        <w:jc w:val="left"/>
        <w:rPr>
          <w:rFonts w:hint="eastAsia"/>
          <w:b w:val="0"/>
          <w:bCs w:val="0"/>
          <w:lang w:val="en-US" w:eastAsia="zh-CN"/>
        </w:rPr>
      </w:pPr>
    </w:p>
    <w:p>
      <w:pPr>
        <w:widowControl w:val="0"/>
        <w:numPr>
          <w:ilvl w:val="0"/>
          <w:numId w:val="1"/>
        </w:numPr>
        <w:tabs>
          <w:tab w:val="left" w:pos="6925"/>
        </w:tabs>
        <w:ind w:left="0" w:leftChars="0" w:firstLine="0" w:firstLineChars="0"/>
        <w:jc w:val="left"/>
        <w:rPr>
          <w:rFonts w:hint="eastAsia"/>
          <w:b/>
          <w:bCs/>
          <w:lang w:val="en-US" w:eastAsia="zh-CN"/>
        </w:rPr>
      </w:pPr>
      <w:r>
        <w:rPr>
          <w:rFonts w:hint="eastAsia"/>
          <w:b/>
          <w:bCs/>
          <w:lang w:val="en-US" w:eastAsia="zh-CN"/>
        </w:rPr>
        <w:t>科技板块</w:t>
      </w:r>
    </w:p>
    <w:p>
      <w:pPr>
        <w:widowControl w:val="0"/>
        <w:numPr>
          <w:numId w:val="0"/>
        </w:numPr>
        <w:tabs>
          <w:tab w:val="left" w:pos="6925"/>
        </w:tabs>
        <w:jc w:val="left"/>
        <w:rPr>
          <w:rFonts w:hint="default"/>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科技类板块主要看好海康、中兴、迈瑞、长春等与科技研发密切相关的企业，迈瑞和长春高新严格意义上属于医药企业，只不过这类企业需要大量研发投入，也被归结为科技企业。</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这种有业绩增长的科技企业值得配置，二师父比较看好的是新兴科技100指数对应的科技100ETF基金。龙头科技也不错，属于传统科技龙头企业ETF。</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至于其他的半导体和5G类新基建项目，属于空中楼阁式投资。</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二师父仔细对比了这些企业，第一利润不够稳定，第二商业模式不明确。</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投资追求的是确定性下的稳健收益，对于这种容易被颠覆的高科技企业，暂时观望态度。</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如果未来中国的科技企业领先世界水平，兆易创新等科技公司利润稳步增长了再投资也不迟。没有必要为了潜在可能的利润而去承担过高的风险。在资本市场少犯错就等于胜利。</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另外关于基建工程，一直是不看好的，而且从高层政策看没有类似09年的刺激计划，这样的话纯靠企业自身是很难在当下经济条件下创造高利润。</w:t>
      </w:r>
    </w:p>
    <w:p>
      <w:pPr>
        <w:widowControl w:val="0"/>
        <w:numPr>
          <w:numId w:val="0"/>
        </w:numPr>
        <w:tabs>
          <w:tab w:val="left" w:pos="6925"/>
        </w:tabs>
        <w:jc w:val="left"/>
        <w:rPr>
          <w:rFonts w:hint="eastAsia"/>
          <w:b/>
          <w:bCs/>
          <w:lang w:val="en-US" w:eastAsia="zh-CN"/>
        </w:rPr>
      </w:pPr>
    </w:p>
    <w:p>
      <w:pPr>
        <w:widowControl w:val="0"/>
        <w:numPr>
          <w:numId w:val="0"/>
        </w:numPr>
        <w:tabs>
          <w:tab w:val="left" w:pos="6925"/>
        </w:tabs>
        <w:jc w:val="left"/>
        <w:rPr>
          <w:rFonts w:hint="default"/>
          <w:b w:val="0"/>
          <w:bCs w:val="0"/>
          <w:lang w:val="en-US" w:eastAsia="zh-CN"/>
        </w:rPr>
      </w:pPr>
      <w:r>
        <w:rPr>
          <w:rFonts w:hint="eastAsia"/>
          <w:b w:val="0"/>
          <w:bCs w:val="0"/>
          <w:lang w:val="en-US" w:eastAsia="zh-CN"/>
        </w:rPr>
        <w:t>去年11月二师父就写过不要投资，有的投资者持反对意见，这都是可以一起探讨的，如果你真的觉得目前基建很便宜，想配置一点，那么首选龙头中国交建和中国建筑就够了，真没必要配置基建这个指数。</w:t>
      </w:r>
    </w:p>
    <w:p>
      <w:pPr>
        <w:widowControl w:val="0"/>
        <w:numPr>
          <w:ilvl w:val="0"/>
          <w:numId w:val="0"/>
        </w:numPr>
        <w:tabs>
          <w:tab w:val="left" w:pos="6925"/>
        </w:tabs>
        <w:jc w:val="left"/>
        <w:rPr>
          <w:rFonts w:hint="eastAsia"/>
          <w:b w:val="0"/>
          <w:bCs w:val="0"/>
          <w:lang w:val="en-US" w:eastAsia="zh-CN"/>
        </w:rPr>
      </w:pPr>
      <w:bookmarkStart w:id="0" w:name="_GoBack"/>
      <w:bookmarkEnd w:id="0"/>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7918B"/>
    <w:multiLevelType w:val="singleLevel"/>
    <w:tmpl w:val="60E7918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A6556"/>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87556"/>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710B9"/>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0C50"/>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5D2AA0"/>
    <w:rsid w:val="017C08CD"/>
    <w:rsid w:val="01A9085D"/>
    <w:rsid w:val="01F41C5F"/>
    <w:rsid w:val="02100838"/>
    <w:rsid w:val="02D51E26"/>
    <w:rsid w:val="02DB1297"/>
    <w:rsid w:val="02E239C4"/>
    <w:rsid w:val="034657E0"/>
    <w:rsid w:val="03690605"/>
    <w:rsid w:val="03B52C8C"/>
    <w:rsid w:val="03D20F1C"/>
    <w:rsid w:val="04222030"/>
    <w:rsid w:val="043B415E"/>
    <w:rsid w:val="050B05EE"/>
    <w:rsid w:val="052C77CD"/>
    <w:rsid w:val="05665A70"/>
    <w:rsid w:val="05A94909"/>
    <w:rsid w:val="05ED756B"/>
    <w:rsid w:val="05F572F4"/>
    <w:rsid w:val="060A2C12"/>
    <w:rsid w:val="06AE4807"/>
    <w:rsid w:val="06DE69FD"/>
    <w:rsid w:val="070029AD"/>
    <w:rsid w:val="07012E8B"/>
    <w:rsid w:val="07117D8F"/>
    <w:rsid w:val="0723353B"/>
    <w:rsid w:val="076420DA"/>
    <w:rsid w:val="07A329F4"/>
    <w:rsid w:val="07C15116"/>
    <w:rsid w:val="07CD6846"/>
    <w:rsid w:val="083A45D0"/>
    <w:rsid w:val="08D1692E"/>
    <w:rsid w:val="0975588D"/>
    <w:rsid w:val="09870F55"/>
    <w:rsid w:val="098F3173"/>
    <w:rsid w:val="09D842ED"/>
    <w:rsid w:val="09EE2D18"/>
    <w:rsid w:val="09F34015"/>
    <w:rsid w:val="0A2433EB"/>
    <w:rsid w:val="0A463F50"/>
    <w:rsid w:val="0A591E9B"/>
    <w:rsid w:val="0A5C1149"/>
    <w:rsid w:val="0AB4483A"/>
    <w:rsid w:val="0B193176"/>
    <w:rsid w:val="0B244392"/>
    <w:rsid w:val="0B4D50F4"/>
    <w:rsid w:val="0B5B7CE7"/>
    <w:rsid w:val="0B7E7646"/>
    <w:rsid w:val="0BBB106D"/>
    <w:rsid w:val="0BCA19C7"/>
    <w:rsid w:val="0BF27A35"/>
    <w:rsid w:val="0C1B3529"/>
    <w:rsid w:val="0C752C31"/>
    <w:rsid w:val="0D0532F0"/>
    <w:rsid w:val="0D6F73B1"/>
    <w:rsid w:val="0DA5486D"/>
    <w:rsid w:val="0E115055"/>
    <w:rsid w:val="0E610F14"/>
    <w:rsid w:val="0E624DA7"/>
    <w:rsid w:val="0F0D1D3B"/>
    <w:rsid w:val="0F1435D9"/>
    <w:rsid w:val="0F44430F"/>
    <w:rsid w:val="0F5B5E53"/>
    <w:rsid w:val="0F985FDD"/>
    <w:rsid w:val="0FC672DF"/>
    <w:rsid w:val="100E67BD"/>
    <w:rsid w:val="102707A0"/>
    <w:rsid w:val="10545E4B"/>
    <w:rsid w:val="109A2AEC"/>
    <w:rsid w:val="10C31701"/>
    <w:rsid w:val="11095C18"/>
    <w:rsid w:val="11133FC1"/>
    <w:rsid w:val="11480FAD"/>
    <w:rsid w:val="12105368"/>
    <w:rsid w:val="12461355"/>
    <w:rsid w:val="1279156D"/>
    <w:rsid w:val="127B6F55"/>
    <w:rsid w:val="12C26E50"/>
    <w:rsid w:val="12D6531A"/>
    <w:rsid w:val="13181180"/>
    <w:rsid w:val="13544F90"/>
    <w:rsid w:val="13B6251C"/>
    <w:rsid w:val="13DF7B57"/>
    <w:rsid w:val="13E11A20"/>
    <w:rsid w:val="1403364B"/>
    <w:rsid w:val="14A94BDE"/>
    <w:rsid w:val="14FB377B"/>
    <w:rsid w:val="15030448"/>
    <w:rsid w:val="15D93CEA"/>
    <w:rsid w:val="16474FFB"/>
    <w:rsid w:val="16686703"/>
    <w:rsid w:val="16735DE6"/>
    <w:rsid w:val="169247E1"/>
    <w:rsid w:val="16A238BF"/>
    <w:rsid w:val="16E22FF1"/>
    <w:rsid w:val="16E91120"/>
    <w:rsid w:val="17341056"/>
    <w:rsid w:val="175977A8"/>
    <w:rsid w:val="179B7B56"/>
    <w:rsid w:val="18044F34"/>
    <w:rsid w:val="186957FD"/>
    <w:rsid w:val="18935CCD"/>
    <w:rsid w:val="189C4672"/>
    <w:rsid w:val="18CA2E90"/>
    <w:rsid w:val="18ED0AC2"/>
    <w:rsid w:val="18FA6D5F"/>
    <w:rsid w:val="194C707B"/>
    <w:rsid w:val="19511D40"/>
    <w:rsid w:val="195367D9"/>
    <w:rsid w:val="1969567A"/>
    <w:rsid w:val="19CF3F4C"/>
    <w:rsid w:val="19D70147"/>
    <w:rsid w:val="1A0374B2"/>
    <w:rsid w:val="1A760074"/>
    <w:rsid w:val="1AD406FE"/>
    <w:rsid w:val="1BA67309"/>
    <w:rsid w:val="1BF07970"/>
    <w:rsid w:val="1BFE4191"/>
    <w:rsid w:val="1BFF46B0"/>
    <w:rsid w:val="1C1E04E6"/>
    <w:rsid w:val="1C975DD7"/>
    <w:rsid w:val="1CA12B7E"/>
    <w:rsid w:val="1CD22922"/>
    <w:rsid w:val="1D054861"/>
    <w:rsid w:val="1D324446"/>
    <w:rsid w:val="1DA177BD"/>
    <w:rsid w:val="1DAD5B06"/>
    <w:rsid w:val="1DC616E2"/>
    <w:rsid w:val="1DFE2DF4"/>
    <w:rsid w:val="1E02761A"/>
    <w:rsid w:val="1E1332E3"/>
    <w:rsid w:val="1E1F75AC"/>
    <w:rsid w:val="1E4339A8"/>
    <w:rsid w:val="1E5D6E3C"/>
    <w:rsid w:val="1E957B8B"/>
    <w:rsid w:val="1EBF6BEE"/>
    <w:rsid w:val="1F17177E"/>
    <w:rsid w:val="1F86077C"/>
    <w:rsid w:val="1F9E403B"/>
    <w:rsid w:val="20267572"/>
    <w:rsid w:val="2044625A"/>
    <w:rsid w:val="20762A69"/>
    <w:rsid w:val="20B71B6C"/>
    <w:rsid w:val="20BE5CDE"/>
    <w:rsid w:val="20C075A6"/>
    <w:rsid w:val="20C852EB"/>
    <w:rsid w:val="21102ED8"/>
    <w:rsid w:val="2143668F"/>
    <w:rsid w:val="21894E7D"/>
    <w:rsid w:val="21B4022C"/>
    <w:rsid w:val="21BD22C2"/>
    <w:rsid w:val="21EA4022"/>
    <w:rsid w:val="22B57377"/>
    <w:rsid w:val="22D64237"/>
    <w:rsid w:val="230840F9"/>
    <w:rsid w:val="230E3B64"/>
    <w:rsid w:val="231F0F56"/>
    <w:rsid w:val="233556F1"/>
    <w:rsid w:val="23A1063F"/>
    <w:rsid w:val="23B501B4"/>
    <w:rsid w:val="23BF2345"/>
    <w:rsid w:val="23F9384E"/>
    <w:rsid w:val="24332E6D"/>
    <w:rsid w:val="24364BFD"/>
    <w:rsid w:val="2441222F"/>
    <w:rsid w:val="245F21A7"/>
    <w:rsid w:val="25167E3A"/>
    <w:rsid w:val="258B6BAF"/>
    <w:rsid w:val="25AA554F"/>
    <w:rsid w:val="25B91ADA"/>
    <w:rsid w:val="25DD422F"/>
    <w:rsid w:val="25FC1D1E"/>
    <w:rsid w:val="26096B02"/>
    <w:rsid w:val="26AA18D6"/>
    <w:rsid w:val="26DE192E"/>
    <w:rsid w:val="26F34A3E"/>
    <w:rsid w:val="270F5EEF"/>
    <w:rsid w:val="2726351C"/>
    <w:rsid w:val="27570117"/>
    <w:rsid w:val="278642E0"/>
    <w:rsid w:val="27D86454"/>
    <w:rsid w:val="27E56093"/>
    <w:rsid w:val="27FA44DD"/>
    <w:rsid w:val="281D6C87"/>
    <w:rsid w:val="28365871"/>
    <w:rsid w:val="285113D3"/>
    <w:rsid w:val="286A460F"/>
    <w:rsid w:val="28DC520F"/>
    <w:rsid w:val="292A7E7E"/>
    <w:rsid w:val="293468B5"/>
    <w:rsid w:val="293A4D11"/>
    <w:rsid w:val="29407E2A"/>
    <w:rsid w:val="29592EAC"/>
    <w:rsid w:val="296E33EF"/>
    <w:rsid w:val="29776CFD"/>
    <w:rsid w:val="298003C9"/>
    <w:rsid w:val="29B7563B"/>
    <w:rsid w:val="29D42671"/>
    <w:rsid w:val="29F26248"/>
    <w:rsid w:val="2A12773C"/>
    <w:rsid w:val="2A86400B"/>
    <w:rsid w:val="2AB167A2"/>
    <w:rsid w:val="2AC77510"/>
    <w:rsid w:val="2AF02D9C"/>
    <w:rsid w:val="2AF719B1"/>
    <w:rsid w:val="2B0A5A66"/>
    <w:rsid w:val="2B2F017E"/>
    <w:rsid w:val="2B7660E4"/>
    <w:rsid w:val="2B953C31"/>
    <w:rsid w:val="2B9D5038"/>
    <w:rsid w:val="2BC841ED"/>
    <w:rsid w:val="2C5E3CCC"/>
    <w:rsid w:val="2C9D1589"/>
    <w:rsid w:val="2CAA00CC"/>
    <w:rsid w:val="2CE840AC"/>
    <w:rsid w:val="2CED20F9"/>
    <w:rsid w:val="2D0D0C57"/>
    <w:rsid w:val="2D1B06D2"/>
    <w:rsid w:val="2DC61C2F"/>
    <w:rsid w:val="2DE345D2"/>
    <w:rsid w:val="2E050A5B"/>
    <w:rsid w:val="2E2D06F2"/>
    <w:rsid w:val="2E604BB3"/>
    <w:rsid w:val="2E8A5566"/>
    <w:rsid w:val="2E950B18"/>
    <w:rsid w:val="2F2040B1"/>
    <w:rsid w:val="2F28034B"/>
    <w:rsid w:val="2FC44112"/>
    <w:rsid w:val="2FCC5402"/>
    <w:rsid w:val="30081104"/>
    <w:rsid w:val="30CC462D"/>
    <w:rsid w:val="30CC72AE"/>
    <w:rsid w:val="313010B1"/>
    <w:rsid w:val="315E36E7"/>
    <w:rsid w:val="31963BB0"/>
    <w:rsid w:val="31DC1095"/>
    <w:rsid w:val="31DC64DD"/>
    <w:rsid w:val="31E83993"/>
    <w:rsid w:val="3203164E"/>
    <w:rsid w:val="323F339B"/>
    <w:rsid w:val="324815D8"/>
    <w:rsid w:val="32571652"/>
    <w:rsid w:val="32984AAC"/>
    <w:rsid w:val="32A41585"/>
    <w:rsid w:val="33001777"/>
    <w:rsid w:val="331268D5"/>
    <w:rsid w:val="332A7B53"/>
    <w:rsid w:val="332C4765"/>
    <w:rsid w:val="3340278D"/>
    <w:rsid w:val="33506A17"/>
    <w:rsid w:val="339D1AD7"/>
    <w:rsid w:val="339E6F1C"/>
    <w:rsid w:val="33CD3753"/>
    <w:rsid w:val="33DB6604"/>
    <w:rsid w:val="33F34477"/>
    <w:rsid w:val="346F111F"/>
    <w:rsid w:val="34712304"/>
    <w:rsid w:val="34DB7D44"/>
    <w:rsid w:val="358E4D1A"/>
    <w:rsid w:val="35BE06DA"/>
    <w:rsid w:val="35C2621D"/>
    <w:rsid w:val="35CA662E"/>
    <w:rsid w:val="36540764"/>
    <w:rsid w:val="3661203E"/>
    <w:rsid w:val="36B36BE5"/>
    <w:rsid w:val="36C8115F"/>
    <w:rsid w:val="36CB32E1"/>
    <w:rsid w:val="36CB63FA"/>
    <w:rsid w:val="37000502"/>
    <w:rsid w:val="37030E33"/>
    <w:rsid w:val="370F7E0C"/>
    <w:rsid w:val="3761160D"/>
    <w:rsid w:val="37AE1B1D"/>
    <w:rsid w:val="37C40FDF"/>
    <w:rsid w:val="37CC14AB"/>
    <w:rsid w:val="380C111A"/>
    <w:rsid w:val="392424C7"/>
    <w:rsid w:val="393F5CD9"/>
    <w:rsid w:val="394D2EB4"/>
    <w:rsid w:val="396B6EE0"/>
    <w:rsid w:val="3996790E"/>
    <w:rsid w:val="39F66875"/>
    <w:rsid w:val="3A474A28"/>
    <w:rsid w:val="3A791522"/>
    <w:rsid w:val="3AB466C9"/>
    <w:rsid w:val="3ADB16FE"/>
    <w:rsid w:val="3ADE036F"/>
    <w:rsid w:val="3B2E0C0E"/>
    <w:rsid w:val="3B4D55BB"/>
    <w:rsid w:val="3B610A30"/>
    <w:rsid w:val="3B735773"/>
    <w:rsid w:val="3BBF4ED4"/>
    <w:rsid w:val="3BC6515E"/>
    <w:rsid w:val="3C047C9D"/>
    <w:rsid w:val="3C120BCE"/>
    <w:rsid w:val="3C702E86"/>
    <w:rsid w:val="3C8C2BBD"/>
    <w:rsid w:val="3CAD7ABE"/>
    <w:rsid w:val="3CAE43BC"/>
    <w:rsid w:val="3D307F55"/>
    <w:rsid w:val="3D6A2551"/>
    <w:rsid w:val="3D6E39C2"/>
    <w:rsid w:val="3D773083"/>
    <w:rsid w:val="3DCE223D"/>
    <w:rsid w:val="3DF5478A"/>
    <w:rsid w:val="3E4B4F6E"/>
    <w:rsid w:val="3E6B7C40"/>
    <w:rsid w:val="3E7856C6"/>
    <w:rsid w:val="3E7E5DC3"/>
    <w:rsid w:val="3E7E76B2"/>
    <w:rsid w:val="3E82606E"/>
    <w:rsid w:val="3E867992"/>
    <w:rsid w:val="3E8706AA"/>
    <w:rsid w:val="3EA01C1E"/>
    <w:rsid w:val="3EDB7A58"/>
    <w:rsid w:val="3F6B0B86"/>
    <w:rsid w:val="3FE458E9"/>
    <w:rsid w:val="40192151"/>
    <w:rsid w:val="40964E81"/>
    <w:rsid w:val="40B62FB9"/>
    <w:rsid w:val="40C93E47"/>
    <w:rsid w:val="40DF0A3D"/>
    <w:rsid w:val="411A5EBF"/>
    <w:rsid w:val="411B7C29"/>
    <w:rsid w:val="419D51A4"/>
    <w:rsid w:val="41A048CF"/>
    <w:rsid w:val="41C22023"/>
    <w:rsid w:val="41F81AAB"/>
    <w:rsid w:val="424A6A18"/>
    <w:rsid w:val="42640528"/>
    <w:rsid w:val="428B3730"/>
    <w:rsid w:val="42953AD3"/>
    <w:rsid w:val="4307622F"/>
    <w:rsid w:val="433409B1"/>
    <w:rsid w:val="435F5AAC"/>
    <w:rsid w:val="43780490"/>
    <w:rsid w:val="438043A8"/>
    <w:rsid w:val="4388768B"/>
    <w:rsid w:val="43A432C4"/>
    <w:rsid w:val="4402457A"/>
    <w:rsid w:val="440713DF"/>
    <w:rsid w:val="440911B1"/>
    <w:rsid w:val="44110E92"/>
    <w:rsid w:val="44125D68"/>
    <w:rsid w:val="442B4454"/>
    <w:rsid w:val="44824CA9"/>
    <w:rsid w:val="449442FF"/>
    <w:rsid w:val="44C16712"/>
    <w:rsid w:val="44F30994"/>
    <w:rsid w:val="450E2F63"/>
    <w:rsid w:val="453C68FA"/>
    <w:rsid w:val="455752CF"/>
    <w:rsid w:val="45951EF4"/>
    <w:rsid w:val="45FE2056"/>
    <w:rsid w:val="465F2C3E"/>
    <w:rsid w:val="46884375"/>
    <w:rsid w:val="46BB42B2"/>
    <w:rsid w:val="46D47923"/>
    <w:rsid w:val="46EE56F3"/>
    <w:rsid w:val="46F437DB"/>
    <w:rsid w:val="472231AA"/>
    <w:rsid w:val="473B1747"/>
    <w:rsid w:val="475D544F"/>
    <w:rsid w:val="476928AC"/>
    <w:rsid w:val="478E1C2A"/>
    <w:rsid w:val="47BE3D8D"/>
    <w:rsid w:val="482B7A09"/>
    <w:rsid w:val="483950BB"/>
    <w:rsid w:val="48584ACB"/>
    <w:rsid w:val="48767E5A"/>
    <w:rsid w:val="48F41445"/>
    <w:rsid w:val="48FE21AE"/>
    <w:rsid w:val="49183F21"/>
    <w:rsid w:val="491B0DD2"/>
    <w:rsid w:val="492B7D7D"/>
    <w:rsid w:val="49436674"/>
    <w:rsid w:val="49AF7A38"/>
    <w:rsid w:val="49F71F01"/>
    <w:rsid w:val="4A0C4269"/>
    <w:rsid w:val="4A253F6F"/>
    <w:rsid w:val="4AAD66F3"/>
    <w:rsid w:val="4AD56703"/>
    <w:rsid w:val="4B052F63"/>
    <w:rsid w:val="4B835925"/>
    <w:rsid w:val="4B8713FD"/>
    <w:rsid w:val="4B9D5619"/>
    <w:rsid w:val="4BA7462B"/>
    <w:rsid w:val="4BDA7E36"/>
    <w:rsid w:val="4C4A00AE"/>
    <w:rsid w:val="4C653085"/>
    <w:rsid w:val="4CB36D20"/>
    <w:rsid w:val="4CB63453"/>
    <w:rsid w:val="4CD02587"/>
    <w:rsid w:val="4D0351A3"/>
    <w:rsid w:val="4D1B34BD"/>
    <w:rsid w:val="4D3B5E47"/>
    <w:rsid w:val="4D3C3168"/>
    <w:rsid w:val="4D526D7E"/>
    <w:rsid w:val="4D5915AF"/>
    <w:rsid w:val="4D7945B6"/>
    <w:rsid w:val="4DB5786C"/>
    <w:rsid w:val="4DC3426C"/>
    <w:rsid w:val="4DEC7D21"/>
    <w:rsid w:val="4E1E2B83"/>
    <w:rsid w:val="4E272481"/>
    <w:rsid w:val="4E59380D"/>
    <w:rsid w:val="4E754419"/>
    <w:rsid w:val="4E8D38C2"/>
    <w:rsid w:val="4ECC0A3A"/>
    <w:rsid w:val="4EE45AC2"/>
    <w:rsid w:val="4F0D709C"/>
    <w:rsid w:val="4F237339"/>
    <w:rsid w:val="4F483501"/>
    <w:rsid w:val="4F6158F5"/>
    <w:rsid w:val="4F754F9E"/>
    <w:rsid w:val="4F773CDD"/>
    <w:rsid w:val="4FC075C6"/>
    <w:rsid w:val="4FD26DC9"/>
    <w:rsid w:val="4FEB194B"/>
    <w:rsid w:val="50015D94"/>
    <w:rsid w:val="50262FAC"/>
    <w:rsid w:val="50286620"/>
    <w:rsid w:val="50420B6B"/>
    <w:rsid w:val="5054483B"/>
    <w:rsid w:val="50797328"/>
    <w:rsid w:val="507F30EC"/>
    <w:rsid w:val="50850966"/>
    <w:rsid w:val="50A84498"/>
    <w:rsid w:val="513F7EE1"/>
    <w:rsid w:val="51651855"/>
    <w:rsid w:val="51BE16AB"/>
    <w:rsid w:val="51FB4D11"/>
    <w:rsid w:val="523B6840"/>
    <w:rsid w:val="524328D5"/>
    <w:rsid w:val="524D7920"/>
    <w:rsid w:val="52875F5D"/>
    <w:rsid w:val="53434131"/>
    <w:rsid w:val="534850C2"/>
    <w:rsid w:val="53764327"/>
    <w:rsid w:val="53786814"/>
    <w:rsid w:val="53937659"/>
    <w:rsid w:val="53BA2DD4"/>
    <w:rsid w:val="53E25C74"/>
    <w:rsid w:val="54195569"/>
    <w:rsid w:val="54237EBD"/>
    <w:rsid w:val="542B7B17"/>
    <w:rsid w:val="543F5BEA"/>
    <w:rsid w:val="544104E6"/>
    <w:rsid w:val="5487592D"/>
    <w:rsid w:val="54E21F3B"/>
    <w:rsid w:val="54E638A5"/>
    <w:rsid w:val="553A454A"/>
    <w:rsid w:val="559B53CF"/>
    <w:rsid w:val="562F30B0"/>
    <w:rsid w:val="5631150A"/>
    <w:rsid w:val="56C141E2"/>
    <w:rsid w:val="56DE2286"/>
    <w:rsid w:val="56DF3599"/>
    <w:rsid w:val="57025805"/>
    <w:rsid w:val="57052EAD"/>
    <w:rsid w:val="57142A90"/>
    <w:rsid w:val="572026EB"/>
    <w:rsid w:val="57272E7D"/>
    <w:rsid w:val="573307FE"/>
    <w:rsid w:val="574B1F78"/>
    <w:rsid w:val="574C3BD9"/>
    <w:rsid w:val="57CB4763"/>
    <w:rsid w:val="581503A3"/>
    <w:rsid w:val="582129D6"/>
    <w:rsid w:val="589D0932"/>
    <w:rsid w:val="58BD0D5D"/>
    <w:rsid w:val="58D24D49"/>
    <w:rsid w:val="591052A3"/>
    <w:rsid w:val="591B6803"/>
    <w:rsid w:val="595B7078"/>
    <w:rsid w:val="596F7B23"/>
    <w:rsid w:val="59700164"/>
    <w:rsid w:val="59852B2C"/>
    <w:rsid w:val="598B68B4"/>
    <w:rsid w:val="59A8512F"/>
    <w:rsid w:val="59B161C4"/>
    <w:rsid w:val="59DD782B"/>
    <w:rsid w:val="5A0026C1"/>
    <w:rsid w:val="5A153B7B"/>
    <w:rsid w:val="5A374509"/>
    <w:rsid w:val="5A974945"/>
    <w:rsid w:val="5AF823EF"/>
    <w:rsid w:val="5AFB3252"/>
    <w:rsid w:val="5B151605"/>
    <w:rsid w:val="5B175C74"/>
    <w:rsid w:val="5B6100F8"/>
    <w:rsid w:val="5B6B0582"/>
    <w:rsid w:val="5B890137"/>
    <w:rsid w:val="5BFC13BC"/>
    <w:rsid w:val="5CB221F4"/>
    <w:rsid w:val="5CC71C35"/>
    <w:rsid w:val="5D0E2B4A"/>
    <w:rsid w:val="5D3C0361"/>
    <w:rsid w:val="5D45152F"/>
    <w:rsid w:val="5D600D9C"/>
    <w:rsid w:val="5D696900"/>
    <w:rsid w:val="5DCA6590"/>
    <w:rsid w:val="5DCC7593"/>
    <w:rsid w:val="5DF6774A"/>
    <w:rsid w:val="5E130BA2"/>
    <w:rsid w:val="5E194A76"/>
    <w:rsid w:val="5E311FD8"/>
    <w:rsid w:val="5EA175A9"/>
    <w:rsid w:val="5EA9523B"/>
    <w:rsid w:val="5EE67A6D"/>
    <w:rsid w:val="5F580630"/>
    <w:rsid w:val="60092180"/>
    <w:rsid w:val="603273B6"/>
    <w:rsid w:val="604F178D"/>
    <w:rsid w:val="607E37BE"/>
    <w:rsid w:val="60B0427A"/>
    <w:rsid w:val="60C56D3F"/>
    <w:rsid w:val="61A6675A"/>
    <w:rsid w:val="627535B7"/>
    <w:rsid w:val="62C73759"/>
    <w:rsid w:val="636D6020"/>
    <w:rsid w:val="63BD5200"/>
    <w:rsid w:val="63DC1350"/>
    <w:rsid w:val="63F42381"/>
    <w:rsid w:val="64067F6F"/>
    <w:rsid w:val="642D516B"/>
    <w:rsid w:val="64765001"/>
    <w:rsid w:val="648039BD"/>
    <w:rsid w:val="64924C9F"/>
    <w:rsid w:val="64B8041A"/>
    <w:rsid w:val="64F73F82"/>
    <w:rsid w:val="65396E32"/>
    <w:rsid w:val="656D4422"/>
    <w:rsid w:val="65BB68D3"/>
    <w:rsid w:val="65D81A5C"/>
    <w:rsid w:val="65E34E60"/>
    <w:rsid w:val="6604661F"/>
    <w:rsid w:val="66485959"/>
    <w:rsid w:val="6685366C"/>
    <w:rsid w:val="66A86C18"/>
    <w:rsid w:val="66B511F0"/>
    <w:rsid w:val="66E77D23"/>
    <w:rsid w:val="678E792D"/>
    <w:rsid w:val="67910D87"/>
    <w:rsid w:val="67BB590C"/>
    <w:rsid w:val="68640102"/>
    <w:rsid w:val="687A2C5C"/>
    <w:rsid w:val="687F574F"/>
    <w:rsid w:val="68F75BA8"/>
    <w:rsid w:val="69141FF3"/>
    <w:rsid w:val="69290B79"/>
    <w:rsid w:val="692955B9"/>
    <w:rsid w:val="69327006"/>
    <w:rsid w:val="694E1485"/>
    <w:rsid w:val="698C410A"/>
    <w:rsid w:val="6A2F1F66"/>
    <w:rsid w:val="6A614939"/>
    <w:rsid w:val="6A6A5D32"/>
    <w:rsid w:val="6ABD5CBF"/>
    <w:rsid w:val="6AC534B5"/>
    <w:rsid w:val="6AE64DF0"/>
    <w:rsid w:val="6AEF44EE"/>
    <w:rsid w:val="6B0241A0"/>
    <w:rsid w:val="6B1A57E2"/>
    <w:rsid w:val="6B426494"/>
    <w:rsid w:val="6B4C5381"/>
    <w:rsid w:val="6B552004"/>
    <w:rsid w:val="6B6503B3"/>
    <w:rsid w:val="6B6B0B33"/>
    <w:rsid w:val="6B9553D0"/>
    <w:rsid w:val="6B964AE8"/>
    <w:rsid w:val="6C0A4FF3"/>
    <w:rsid w:val="6D126C4D"/>
    <w:rsid w:val="6D130FE0"/>
    <w:rsid w:val="6D2A298E"/>
    <w:rsid w:val="6D4F7F6E"/>
    <w:rsid w:val="6D737961"/>
    <w:rsid w:val="6D9E7C6E"/>
    <w:rsid w:val="6DEF1BA2"/>
    <w:rsid w:val="6E522248"/>
    <w:rsid w:val="6E787D15"/>
    <w:rsid w:val="6E7D1EAC"/>
    <w:rsid w:val="6EB31EDB"/>
    <w:rsid w:val="6ED54E9C"/>
    <w:rsid w:val="6F395389"/>
    <w:rsid w:val="6F4250E5"/>
    <w:rsid w:val="6F5513C0"/>
    <w:rsid w:val="6F68785B"/>
    <w:rsid w:val="6F695359"/>
    <w:rsid w:val="6F792613"/>
    <w:rsid w:val="6FE33D56"/>
    <w:rsid w:val="704310D7"/>
    <w:rsid w:val="70572CFC"/>
    <w:rsid w:val="70C85D23"/>
    <w:rsid w:val="70EB7F4F"/>
    <w:rsid w:val="712E4423"/>
    <w:rsid w:val="717128CF"/>
    <w:rsid w:val="71FE2778"/>
    <w:rsid w:val="721444EC"/>
    <w:rsid w:val="72271ED4"/>
    <w:rsid w:val="722A5524"/>
    <w:rsid w:val="72724C4B"/>
    <w:rsid w:val="72C41E3B"/>
    <w:rsid w:val="73336EB9"/>
    <w:rsid w:val="73542586"/>
    <w:rsid w:val="73857071"/>
    <w:rsid w:val="73C237EC"/>
    <w:rsid w:val="73E47534"/>
    <w:rsid w:val="740D1F75"/>
    <w:rsid w:val="743977E0"/>
    <w:rsid w:val="746D2EBF"/>
    <w:rsid w:val="75330837"/>
    <w:rsid w:val="75887BEF"/>
    <w:rsid w:val="75C1455B"/>
    <w:rsid w:val="75D846F0"/>
    <w:rsid w:val="76114789"/>
    <w:rsid w:val="76C66C31"/>
    <w:rsid w:val="7709138C"/>
    <w:rsid w:val="776E2834"/>
    <w:rsid w:val="77C45ECA"/>
    <w:rsid w:val="77D14299"/>
    <w:rsid w:val="77DF7C91"/>
    <w:rsid w:val="78076B6A"/>
    <w:rsid w:val="784F5675"/>
    <w:rsid w:val="78CE5C43"/>
    <w:rsid w:val="795037FF"/>
    <w:rsid w:val="79873E57"/>
    <w:rsid w:val="79C97045"/>
    <w:rsid w:val="79CA12E7"/>
    <w:rsid w:val="79D6152A"/>
    <w:rsid w:val="79FB14B1"/>
    <w:rsid w:val="7A201E01"/>
    <w:rsid w:val="7A340C6D"/>
    <w:rsid w:val="7A4C6720"/>
    <w:rsid w:val="7A8252BC"/>
    <w:rsid w:val="7AAE526E"/>
    <w:rsid w:val="7ADB5ACD"/>
    <w:rsid w:val="7B65698D"/>
    <w:rsid w:val="7B744320"/>
    <w:rsid w:val="7BA22DDC"/>
    <w:rsid w:val="7BD061EB"/>
    <w:rsid w:val="7C044BD0"/>
    <w:rsid w:val="7C3E65C6"/>
    <w:rsid w:val="7C531E4B"/>
    <w:rsid w:val="7C790C57"/>
    <w:rsid w:val="7C861179"/>
    <w:rsid w:val="7CA63079"/>
    <w:rsid w:val="7CB06EA7"/>
    <w:rsid w:val="7CD04209"/>
    <w:rsid w:val="7CE06DA7"/>
    <w:rsid w:val="7DA257AB"/>
    <w:rsid w:val="7EC8200C"/>
    <w:rsid w:val="7EF874A4"/>
    <w:rsid w:val="7F0D2BF5"/>
    <w:rsid w:val="7F536B3A"/>
    <w:rsid w:val="7F6537D3"/>
    <w:rsid w:val="7F900091"/>
    <w:rsid w:val="7FAB287B"/>
    <w:rsid w:val="7FD112C0"/>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136</TotalTime>
  <ScaleCrop>false</ScaleCrop>
  <LinksUpToDate>false</LinksUpToDate>
  <CharactersWithSpaces>1425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2020-05-29T07:42:56Z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