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60" w:lineRule="atLeast"/>
        <w:ind w:firstLine="602" w:firstLineChars="200"/>
        <w:jc w:val="center"/>
        <w:rPr>
          <w:b/>
          <w:sz w:val="30"/>
          <w:szCs w:val="30"/>
        </w:rPr>
      </w:pPr>
      <w:r>
        <w:rPr>
          <w:rFonts w:hint="eastAsia"/>
          <w:b/>
          <w:sz w:val="30"/>
          <w:szCs w:val="30"/>
        </w:rPr>
        <w:t>周一：市场分析</w:t>
      </w:r>
    </w:p>
    <w:p>
      <w:pPr>
        <w:spacing w:line="160" w:lineRule="atLeast"/>
        <w:ind w:firstLine="422" w:firstLineChars="200"/>
        <w:jc w:val="center"/>
        <w:rPr>
          <w:rFonts w:ascii="楷体" w:hAnsi="楷体" w:eastAsia="楷体"/>
          <w:b/>
          <w:szCs w:val="21"/>
        </w:rPr>
      </w:pPr>
      <w:r>
        <w:rPr>
          <w:rFonts w:hint="eastAsia" w:ascii="楷体" w:hAnsi="楷体" w:eastAsia="楷体"/>
          <w:b/>
          <w:szCs w:val="21"/>
        </w:rPr>
        <w:t>作者：二师父</w:t>
      </w:r>
    </w:p>
    <w:p>
      <w:pPr>
        <w:spacing w:line="160" w:lineRule="atLeast"/>
        <w:ind w:firstLine="422" w:firstLineChars="200"/>
        <w:jc w:val="center"/>
        <w:rPr>
          <w:rFonts w:ascii="楷体" w:hAnsi="楷体" w:eastAsia="楷体"/>
          <w:b/>
          <w:szCs w:val="21"/>
        </w:rPr>
      </w:pPr>
      <w:r>
        <w:rPr>
          <w:rFonts w:hint="eastAsia" w:ascii="楷体" w:hAnsi="楷体" w:eastAsia="楷体"/>
          <w:b/>
          <w:szCs w:val="21"/>
        </w:rPr>
        <w:t>微信公众号：二师父定投</w:t>
      </w:r>
    </w:p>
    <w:p>
      <w:pPr>
        <w:spacing w:line="160" w:lineRule="atLeast"/>
        <w:ind w:firstLine="602" w:firstLineChars="200"/>
        <w:jc w:val="center"/>
        <w:rPr>
          <w:b/>
          <w:sz w:val="30"/>
          <w:szCs w:val="30"/>
        </w:rPr>
      </w:pPr>
      <w:r>
        <w:rPr>
          <w:rFonts w:hint="eastAsia"/>
          <w:b/>
          <w:sz w:val="30"/>
          <w:szCs w:val="30"/>
        </w:rPr>
        <w:t>二师父的名片</w:t>
      </w:r>
    </w:p>
    <w:p>
      <w:pPr>
        <w:spacing w:line="160" w:lineRule="atLeast"/>
        <w:ind w:firstLine="600" w:firstLineChars="200"/>
        <w:jc w:val="center"/>
        <w:rPr>
          <w:sz w:val="30"/>
          <w:szCs w:val="30"/>
        </w:rPr>
      </w:pPr>
      <w:r>
        <w:rPr>
          <w:sz w:val="30"/>
          <w:szCs w:val="30"/>
        </w:rPr>
        <w:drawing>
          <wp:inline distT="0" distB="0" distL="0" distR="0">
            <wp:extent cx="4294505" cy="2299335"/>
            <wp:effectExtent l="0" t="0" r="0" b="5715"/>
            <wp:docPr id="2" name="图片 2" descr="D:\宣传工作\2018\自律定投，拥抱自由\3-二师父定投\3-学习进步\3-备用配图\稿定设计导出-20181216-19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宣传工作\2018\自律定投，拥抱自由\3-二师父定投\3-学习进步\3-备用配图\稿定设计导出-20181216-1904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91433" cy="2297994"/>
                    </a:xfrm>
                    <a:prstGeom prst="rect">
                      <a:avLst/>
                    </a:prstGeom>
                    <a:noFill/>
                    <a:ln>
                      <a:noFill/>
                    </a:ln>
                  </pic:spPr>
                </pic:pic>
              </a:graphicData>
            </a:graphic>
          </wp:inline>
        </w:drawing>
      </w:r>
    </w:p>
    <w:p>
      <w:pPr>
        <w:pStyle w:val="5"/>
        <w:shd w:val="clear" w:color="auto" w:fill="FFFFFF"/>
        <w:spacing w:before="0" w:beforeAutospacing="0" w:after="0" w:afterAutospacing="0" w:line="160" w:lineRule="atLeast"/>
        <w:ind w:firstLine="480" w:firstLineChars="200"/>
        <w:jc w:val="both"/>
        <w:rPr>
          <w:rFonts w:ascii="仿宋" w:hAnsi="仿宋" w:eastAsia="仿宋" w:cs="Helvetica"/>
          <w:color w:val="000000"/>
          <w:sz w:val="25"/>
          <w:szCs w:val="25"/>
        </w:rPr>
      </w:pPr>
      <w:r>
        <w:drawing>
          <wp:inline distT="0" distB="0" distL="114300" distR="114300">
            <wp:extent cx="5269230" cy="3404235"/>
            <wp:effectExtent l="0" t="0" r="381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9230" cy="3404235"/>
                    </a:xfrm>
                    <a:prstGeom prst="rect">
                      <a:avLst/>
                    </a:prstGeom>
                    <a:noFill/>
                    <a:ln>
                      <a:noFill/>
                    </a:ln>
                  </pic:spPr>
                </pic:pic>
              </a:graphicData>
            </a:graphic>
          </wp:inline>
        </w:drawing>
      </w:r>
    </w:p>
    <w:p>
      <w:pPr>
        <w:pStyle w:val="5"/>
        <w:shd w:val="clear" w:color="auto" w:fill="FFFFFF"/>
        <w:spacing w:before="0" w:beforeAutospacing="0" w:after="0" w:afterAutospacing="0" w:line="160" w:lineRule="atLeast"/>
        <w:ind w:firstLine="500" w:firstLineChars="200"/>
        <w:jc w:val="both"/>
        <w:rPr>
          <w:rFonts w:hint="default" w:ascii="仿宋" w:hAnsi="仿宋" w:eastAsia="仿宋" w:cs="Helvetica"/>
          <w:color w:val="000000"/>
          <w:sz w:val="25"/>
          <w:szCs w:val="25"/>
          <w:lang w:val="en-US" w:eastAsia="zh-CN"/>
        </w:rPr>
      </w:pPr>
      <w:r>
        <w:rPr>
          <w:rFonts w:hint="eastAsia" w:ascii="仿宋" w:hAnsi="仿宋" w:eastAsia="仿宋" w:cs="Helvetica"/>
          <w:color w:val="000000"/>
          <w:sz w:val="25"/>
          <w:szCs w:val="25"/>
        </w:rPr>
        <w:t>10年期国债收益率</w:t>
      </w:r>
      <w:r>
        <w:rPr>
          <w:rFonts w:hint="eastAsia" w:ascii="仿宋" w:hAnsi="仿宋" w:eastAsia="仿宋" w:cs="Helvetica"/>
          <w:color w:val="000000"/>
          <w:sz w:val="25"/>
          <w:szCs w:val="25"/>
          <w:lang w:val="en-US" w:eastAsia="zh-CN"/>
        </w:rPr>
        <w:t>短期回落，同时利好股市和债市，当前股市受到疫情影响，企业基本面很差，难以走牛，短期牛市也是因为估值修复和政策推动。</w:t>
      </w:r>
    </w:p>
    <w:p>
      <w:pPr>
        <w:pStyle w:val="5"/>
        <w:shd w:val="clear" w:color="auto" w:fill="FFFFFF"/>
        <w:spacing w:before="0" w:beforeAutospacing="0" w:after="0" w:afterAutospacing="0" w:line="160" w:lineRule="atLeast"/>
        <w:ind w:firstLine="500" w:firstLineChars="200"/>
        <w:jc w:val="both"/>
        <w:rPr>
          <w:rFonts w:ascii="仿宋" w:hAnsi="仿宋" w:eastAsia="仿宋" w:cs="Helvetica"/>
          <w:color w:val="000000"/>
          <w:sz w:val="25"/>
          <w:szCs w:val="25"/>
        </w:rPr>
      </w:pPr>
    </w:p>
    <w:p>
      <w:pPr>
        <w:pStyle w:val="5"/>
        <w:shd w:val="clear" w:color="auto" w:fill="FFFFFF"/>
        <w:spacing w:before="0" w:beforeAutospacing="0" w:after="0" w:afterAutospacing="0" w:line="160" w:lineRule="atLeast"/>
        <w:ind w:firstLine="500" w:firstLineChars="200"/>
        <w:rPr>
          <w:rFonts w:ascii="仿宋" w:hAnsi="仿宋" w:eastAsia="仿宋" w:cs="Helvetica"/>
          <w:color w:val="000000"/>
          <w:sz w:val="25"/>
          <w:szCs w:val="25"/>
        </w:rPr>
      </w:pPr>
    </w:p>
    <w:p>
      <w:pPr>
        <w:pStyle w:val="5"/>
        <w:shd w:val="clear" w:color="auto" w:fill="FFFFFF"/>
        <w:spacing w:before="0" w:beforeAutospacing="0" w:after="0" w:afterAutospacing="0" w:line="160" w:lineRule="atLeast"/>
        <w:ind w:firstLine="500" w:firstLineChars="200"/>
        <w:jc w:val="both"/>
        <w:rPr>
          <w:rFonts w:hint="eastAsia" w:ascii="仿宋" w:hAnsi="仿宋" w:eastAsia="仿宋" w:cs="Helvetica"/>
          <w:color w:val="000000"/>
          <w:sz w:val="25"/>
          <w:szCs w:val="25"/>
          <w:lang w:val="en-US" w:eastAsia="zh-CN"/>
        </w:rPr>
      </w:pPr>
      <w:r>
        <w:rPr>
          <w:rFonts w:hint="eastAsia" w:ascii="仿宋" w:hAnsi="仿宋" w:eastAsia="仿宋" w:cs="Helvetica"/>
          <w:color w:val="000000"/>
          <w:sz w:val="25"/>
          <w:szCs w:val="25"/>
          <w:lang w:val="en-US" w:eastAsia="zh-CN"/>
        </w:rPr>
        <w:t>美国财政部持有的现金达到了接近最高纪录的1.5万亿美元，随着季度末临近，这些现金如何使用成为融资市场面临的最大未知数。</w:t>
      </w:r>
    </w:p>
    <w:p>
      <w:pPr>
        <w:pStyle w:val="5"/>
        <w:shd w:val="clear" w:color="auto" w:fill="FFFFFF"/>
        <w:spacing w:before="0" w:beforeAutospacing="0" w:after="0" w:afterAutospacing="0" w:line="160" w:lineRule="atLeast"/>
        <w:ind w:firstLine="500" w:firstLineChars="200"/>
        <w:jc w:val="both"/>
        <w:rPr>
          <w:rFonts w:hint="eastAsia" w:ascii="仿宋" w:hAnsi="仿宋" w:eastAsia="仿宋" w:cs="Helvetica"/>
          <w:color w:val="000000"/>
          <w:sz w:val="25"/>
          <w:szCs w:val="25"/>
          <w:lang w:val="en-US" w:eastAsia="zh-CN"/>
        </w:rPr>
      </w:pPr>
      <w:r>
        <w:rPr>
          <w:rFonts w:hint="eastAsia" w:ascii="仿宋" w:hAnsi="仿宋" w:eastAsia="仿宋" w:cs="Helvetica"/>
          <w:color w:val="000000"/>
          <w:sz w:val="25"/>
          <w:szCs w:val="25"/>
          <w:lang w:val="en-US" w:eastAsia="zh-CN"/>
        </w:rPr>
        <w:t>财政部确保随时有足够偿债能力的计划，再次加大了美联储在关键时刻衡量银行体系准备金情况的难度。</w:t>
      </w:r>
    </w:p>
    <w:p>
      <w:pPr>
        <w:pStyle w:val="5"/>
        <w:shd w:val="clear" w:color="auto" w:fill="FFFFFF"/>
        <w:spacing w:before="0" w:beforeAutospacing="0" w:after="0" w:afterAutospacing="0" w:line="160" w:lineRule="atLeast"/>
        <w:ind w:firstLine="500" w:firstLineChars="200"/>
        <w:jc w:val="both"/>
        <w:rPr>
          <w:rFonts w:hint="eastAsia" w:ascii="仿宋" w:hAnsi="仿宋" w:eastAsia="仿宋" w:cs="Helvetica"/>
          <w:color w:val="000000"/>
          <w:sz w:val="25"/>
          <w:szCs w:val="25"/>
          <w:lang w:val="en-US" w:eastAsia="zh-CN"/>
        </w:rPr>
      </w:pPr>
      <w:r>
        <w:rPr>
          <w:rFonts w:hint="eastAsia" w:ascii="仿宋" w:hAnsi="仿宋" w:eastAsia="仿宋" w:cs="Helvetica"/>
          <w:color w:val="000000"/>
          <w:sz w:val="25"/>
          <w:szCs w:val="25"/>
          <w:lang w:val="en-US" w:eastAsia="zh-CN"/>
        </w:rPr>
        <w:t>这是因为政府在美联储的现金存款会直接影响准备金水平，若余额上升，实际上会导致银行准备金下降。政府在新冠疫情期间增加刺激性支出，联邦预算赤字急剧膨胀，随之而来的是财政部缓冲规模及其变动程度双双上升。由于财政部发债速度超过现金支出速度，现金余额就不断增长。</w:t>
      </w:r>
    </w:p>
    <w:p>
      <w:pPr>
        <w:pStyle w:val="5"/>
        <w:shd w:val="clear" w:color="auto" w:fill="FFFFFF"/>
        <w:spacing w:before="0" w:beforeAutospacing="0" w:after="0" w:afterAutospacing="0" w:line="160" w:lineRule="atLeast"/>
        <w:ind w:firstLine="500" w:firstLineChars="200"/>
        <w:jc w:val="both"/>
        <w:rPr>
          <w:rFonts w:hint="eastAsia" w:ascii="仿宋" w:hAnsi="仿宋" w:eastAsia="仿宋" w:cs="Helvetica"/>
          <w:color w:val="000000"/>
          <w:sz w:val="25"/>
          <w:szCs w:val="25"/>
          <w:lang w:val="en-US" w:eastAsia="zh-CN"/>
        </w:rPr>
      </w:pPr>
      <w:r>
        <w:rPr>
          <w:rFonts w:hint="eastAsia" w:ascii="仿宋" w:hAnsi="仿宋" w:eastAsia="仿宋" w:cs="Helvetica"/>
          <w:color w:val="000000"/>
          <w:sz w:val="25"/>
          <w:szCs w:val="25"/>
          <w:lang w:val="en-US" w:eastAsia="zh-CN"/>
        </w:rPr>
        <w:t>6月15日起深圳交易所开始受理创业板新规下的首发申请。根据试行办法，交易所将率先审核所有上市申请，然后上报证监会，证监会将在20个工作日内对发行人的注册申请作出予以注册或者不予注册的决定。此外，有关创业板股票交易的规定也将放松。这是继2019年上海科创板注册制后的改革试点范围进一步扩大。</w:t>
      </w:r>
    </w:p>
    <w:p>
      <w:pPr>
        <w:pStyle w:val="5"/>
        <w:shd w:val="clear" w:color="auto" w:fill="FFFFFF"/>
        <w:spacing w:before="0" w:beforeAutospacing="0" w:after="0" w:afterAutospacing="0" w:line="160" w:lineRule="atLeast"/>
        <w:ind w:firstLine="500" w:firstLineChars="200"/>
        <w:jc w:val="both"/>
        <w:rPr>
          <w:rFonts w:hint="eastAsia" w:ascii="仿宋" w:hAnsi="仿宋" w:eastAsia="仿宋" w:cs="Helvetica"/>
          <w:color w:val="000000"/>
          <w:sz w:val="25"/>
          <w:szCs w:val="25"/>
          <w:lang w:val="en-US" w:eastAsia="zh-CN"/>
        </w:rPr>
      </w:pPr>
      <w:r>
        <w:rPr>
          <w:rFonts w:hint="eastAsia" w:ascii="仿宋" w:hAnsi="仿宋" w:eastAsia="仿宋" w:cs="Helvetica"/>
          <w:color w:val="000000"/>
          <w:sz w:val="25"/>
          <w:szCs w:val="25"/>
          <w:lang w:val="en-US" w:eastAsia="zh-CN"/>
        </w:rPr>
        <w:t>如是金融研究院宏观策略高级研究员葛寿净指出，科技股行情和创业板注册制等信号趋势料吸引行业内更多公司进行上市融资，有利于刺激行业快速发展；一级投资实现退出，令初创企业更有动力，也有助于国家科技实力的提升。</w:t>
      </w:r>
    </w:p>
    <w:p>
      <w:pPr>
        <w:pStyle w:val="5"/>
        <w:shd w:val="clear" w:color="auto" w:fill="FFFFFF"/>
        <w:spacing w:before="0" w:beforeAutospacing="0" w:after="0" w:afterAutospacing="0" w:line="160" w:lineRule="atLeast"/>
        <w:ind w:firstLine="500" w:firstLineChars="200"/>
        <w:jc w:val="both"/>
        <w:rPr>
          <w:rFonts w:hint="eastAsia" w:ascii="仿宋" w:hAnsi="仿宋" w:eastAsia="仿宋" w:cs="Helvetica"/>
          <w:color w:val="000000"/>
          <w:sz w:val="25"/>
          <w:szCs w:val="25"/>
          <w:lang w:val="en-US" w:eastAsia="zh-CN"/>
        </w:rPr>
      </w:pPr>
      <w:r>
        <w:rPr>
          <w:rFonts w:hint="eastAsia" w:ascii="仿宋" w:hAnsi="仿宋" w:eastAsia="仿宋" w:cs="Helvetica"/>
          <w:color w:val="000000"/>
          <w:sz w:val="25"/>
          <w:szCs w:val="25"/>
          <w:lang w:val="en-US" w:eastAsia="zh-CN"/>
        </w:rPr>
        <w:t>上海科创板于2019年7月正式开始交易并试点注册制，一度引发IPO扩容而带来新股稀缺性下降的担忧。由于高估值发行，还出现了久日新材等上市后快速破发的股票。</w:t>
      </w:r>
    </w:p>
    <w:p>
      <w:pPr>
        <w:pStyle w:val="5"/>
        <w:shd w:val="clear" w:color="auto" w:fill="FFFFFF"/>
        <w:spacing w:before="0" w:beforeAutospacing="0" w:after="0" w:afterAutospacing="0" w:line="160" w:lineRule="atLeast"/>
        <w:ind w:firstLine="500" w:firstLineChars="200"/>
        <w:jc w:val="both"/>
        <w:rPr>
          <w:rFonts w:hint="eastAsia" w:ascii="仿宋" w:hAnsi="仿宋" w:eastAsia="仿宋" w:cs="Helvetica"/>
          <w:color w:val="000000"/>
          <w:sz w:val="25"/>
          <w:szCs w:val="25"/>
          <w:lang w:val="en-US" w:eastAsia="zh-CN"/>
        </w:rPr>
      </w:pPr>
      <w:r>
        <w:rPr>
          <w:rFonts w:hint="eastAsia" w:ascii="仿宋" w:hAnsi="仿宋" w:eastAsia="仿宋" w:cs="Helvetica"/>
          <w:color w:val="000000"/>
          <w:sz w:val="25"/>
          <w:szCs w:val="25"/>
          <w:lang w:val="en-US" w:eastAsia="zh-CN"/>
        </w:rPr>
        <w:t>不过目前来看，科创板新股回报依然可观。彭博数据显示，上市已满一月的科创板股票目前有102只，1个月平均涨幅为126%；尽管有5只股票第一个月收益为负，但也有56只个股的收益翻倍。</w:t>
      </w:r>
    </w:p>
    <w:p>
      <w:pPr>
        <w:spacing w:line="160" w:lineRule="atLeast"/>
        <w:rPr>
          <w:rFonts w:ascii="仿宋" w:hAnsi="仿宋" w:eastAsia="仿宋"/>
          <w:sz w:val="25"/>
          <w:szCs w:val="25"/>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华文中宋">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仿宋" w:hAnsi="仿宋" w:eastAsia="仿宋"/>
        <w:b/>
      </w:rPr>
      <w:t>版权所有，转载请授权</w:t>
    </w:r>
    <w:r>
      <w:ptab w:relativeTo="margin" w:alignment="center" w:leader="none"/>
    </w:r>
    <w:r>
      <w:rPr>
        <w:rFonts w:hint="eastAsia" w:ascii="华文中宋" w:hAnsi="华文中宋" w:eastAsia="华文中宋"/>
        <w:b/>
        <w:sz w:val="44"/>
        <w:szCs w:val="44"/>
      </w:rPr>
      <w:t>二师父定投学堂</w:t>
    </w:r>
    <w:r>
      <w:ptab w:relativeTo="margin" w:alignment="right" w:leader="none"/>
    </w:r>
    <w:r>
      <w:rPr>
        <w:rFonts w:hint="eastAsia" w:ascii="仿宋" w:hAnsi="仿宋" w:eastAsia="仿宋"/>
        <w:b/>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65"/>
    <w:rsid w:val="00011CFB"/>
    <w:rsid w:val="00022877"/>
    <w:rsid w:val="00026F62"/>
    <w:rsid w:val="00032A4A"/>
    <w:rsid w:val="000549AA"/>
    <w:rsid w:val="00083265"/>
    <w:rsid w:val="00097DD3"/>
    <w:rsid w:val="000A1D72"/>
    <w:rsid w:val="000A33BF"/>
    <w:rsid w:val="000A3D58"/>
    <w:rsid w:val="000C0267"/>
    <w:rsid w:val="000C50CF"/>
    <w:rsid w:val="000C5AE3"/>
    <w:rsid w:val="00112157"/>
    <w:rsid w:val="0012731A"/>
    <w:rsid w:val="0013068B"/>
    <w:rsid w:val="00132789"/>
    <w:rsid w:val="00133C0D"/>
    <w:rsid w:val="00134CB2"/>
    <w:rsid w:val="00140324"/>
    <w:rsid w:val="00172CD4"/>
    <w:rsid w:val="001778C5"/>
    <w:rsid w:val="001A02EC"/>
    <w:rsid w:val="001A2391"/>
    <w:rsid w:val="001B4114"/>
    <w:rsid w:val="001B45CB"/>
    <w:rsid w:val="001C4F52"/>
    <w:rsid w:val="001D2EAB"/>
    <w:rsid w:val="001D3753"/>
    <w:rsid w:val="001E376C"/>
    <w:rsid w:val="001E38ED"/>
    <w:rsid w:val="001E41FF"/>
    <w:rsid w:val="001E6810"/>
    <w:rsid w:val="001F13DF"/>
    <w:rsid w:val="00204212"/>
    <w:rsid w:val="00227BB3"/>
    <w:rsid w:val="00294EF0"/>
    <w:rsid w:val="002A1DCB"/>
    <w:rsid w:val="002C0959"/>
    <w:rsid w:val="002C1393"/>
    <w:rsid w:val="002F2D96"/>
    <w:rsid w:val="00333ABF"/>
    <w:rsid w:val="003434B4"/>
    <w:rsid w:val="00367FAE"/>
    <w:rsid w:val="00392397"/>
    <w:rsid w:val="003B0812"/>
    <w:rsid w:val="003C56CB"/>
    <w:rsid w:val="003C7A65"/>
    <w:rsid w:val="003D401B"/>
    <w:rsid w:val="003E27B3"/>
    <w:rsid w:val="003F4DAE"/>
    <w:rsid w:val="00417307"/>
    <w:rsid w:val="004230A0"/>
    <w:rsid w:val="00426E7E"/>
    <w:rsid w:val="00455980"/>
    <w:rsid w:val="004577DE"/>
    <w:rsid w:val="004728ED"/>
    <w:rsid w:val="0049261E"/>
    <w:rsid w:val="004A1AFC"/>
    <w:rsid w:val="004A1B26"/>
    <w:rsid w:val="004A7F55"/>
    <w:rsid w:val="004B6E19"/>
    <w:rsid w:val="004D772E"/>
    <w:rsid w:val="004E5A45"/>
    <w:rsid w:val="004F5EE1"/>
    <w:rsid w:val="005017B1"/>
    <w:rsid w:val="005147D3"/>
    <w:rsid w:val="005170DE"/>
    <w:rsid w:val="00551BBF"/>
    <w:rsid w:val="00560326"/>
    <w:rsid w:val="00577368"/>
    <w:rsid w:val="005904D7"/>
    <w:rsid w:val="005F3D14"/>
    <w:rsid w:val="00622460"/>
    <w:rsid w:val="00674775"/>
    <w:rsid w:val="00680A39"/>
    <w:rsid w:val="006D6F4C"/>
    <w:rsid w:val="006F447C"/>
    <w:rsid w:val="00737C74"/>
    <w:rsid w:val="00740D21"/>
    <w:rsid w:val="00744C07"/>
    <w:rsid w:val="00777470"/>
    <w:rsid w:val="007854DF"/>
    <w:rsid w:val="007971B5"/>
    <w:rsid w:val="007A621F"/>
    <w:rsid w:val="007A7469"/>
    <w:rsid w:val="007E34F2"/>
    <w:rsid w:val="007F4287"/>
    <w:rsid w:val="00825285"/>
    <w:rsid w:val="008263B4"/>
    <w:rsid w:val="008331D4"/>
    <w:rsid w:val="00835A12"/>
    <w:rsid w:val="00844D19"/>
    <w:rsid w:val="00850A28"/>
    <w:rsid w:val="008546D7"/>
    <w:rsid w:val="00864824"/>
    <w:rsid w:val="00867513"/>
    <w:rsid w:val="00872EA0"/>
    <w:rsid w:val="00887C65"/>
    <w:rsid w:val="008971F4"/>
    <w:rsid w:val="008B31CC"/>
    <w:rsid w:val="008B5066"/>
    <w:rsid w:val="008C33DB"/>
    <w:rsid w:val="008C4C42"/>
    <w:rsid w:val="008E01B1"/>
    <w:rsid w:val="008E3CA1"/>
    <w:rsid w:val="008E5506"/>
    <w:rsid w:val="00930DD9"/>
    <w:rsid w:val="00964E31"/>
    <w:rsid w:val="0098149E"/>
    <w:rsid w:val="00982812"/>
    <w:rsid w:val="00992560"/>
    <w:rsid w:val="009A3ECC"/>
    <w:rsid w:val="009A5D95"/>
    <w:rsid w:val="009B123F"/>
    <w:rsid w:val="009C2CDA"/>
    <w:rsid w:val="009C6032"/>
    <w:rsid w:val="009D3D25"/>
    <w:rsid w:val="009D414C"/>
    <w:rsid w:val="009E3E83"/>
    <w:rsid w:val="009E7341"/>
    <w:rsid w:val="009F5073"/>
    <w:rsid w:val="00A159B3"/>
    <w:rsid w:val="00A37A4F"/>
    <w:rsid w:val="00A417D8"/>
    <w:rsid w:val="00A87793"/>
    <w:rsid w:val="00A96D17"/>
    <w:rsid w:val="00AA1D8A"/>
    <w:rsid w:val="00AA564E"/>
    <w:rsid w:val="00AD2BD8"/>
    <w:rsid w:val="00AD2D47"/>
    <w:rsid w:val="00AF6D8E"/>
    <w:rsid w:val="00B0150A"/>
    <w:rsid w:val="00B05AB3"/>
    <w:rsid w:val="00B13AB1"/>
    <w:rsid w:val="00B5082D"/>
    <w:rsid w:val="00B7103A"/>
    <w:rsid w:val="00B73B5C"/>
    <w:rsid w:val="00BB584D"/>
    <w:rsid w:val="00BC47AE"/>
    <w:rsid w:val="00BD0587"/>
    <w:rsid w:val="00BD08C1"/>
    <w:rsid w:val="00BF0ACF"/>
    <w:rsid w:val="00BF48DD"/>
    <w:rsid w:val="00C1416D"/>
    <w:rsid w:val="00C25AB9"/>
    <w:rsid w:val="00C27724"/>
    <w:rsid w:val="00C36A01"/>
    <w:rsid w:val="00C4239B"/>
    <w:rsid w:val="00C46686"/>
    <w:rsid w:val="00C5035D"/>
    <w:rsid w:val="00C6547E"/>
    <w:rsid w:val="00C72BED"/>
    <w:rsid w:val="00C75826"/>
    <w:rsid w:val="00C90859"/>
    <w:rsid w:val="00C90EA0"/>
    <w:rsid w:val="00CA5BCA"/>
    <w:rsid w:val="00CD2089"/>
    <w:rsid w:val="00CD2EB2"/>
    <w:rsid w:val="00CE2944"/>
    <w:rsid w:val="00CF2DC8"/>
    <w:rsid w:val="00CF3602"/>
    <w:rsid w:val="00D0797E"/>
    <w:rsid w:val="00D10B2F"/>
    <w:rsid w:val="00D12C51"/>
    <w:rsid w:val="00D26824"/>
    <w:rsid w:val="00D3406A"/>
    <w:rsid w:val="00D42C22"/>
    <w:rsid w:val="00D567EE"/>
    <w:rsid w:val="00D631E7"/>
    <w:rsid w:val="00D6689D"/>
    <w:rsid w:val="00D82020"/>
    <w:rsid w:val="00D83AE4"/>
    <w:rsid w:val="00D83F3A"/>
    <w:rsid w:val="00D86D1F"/>
    <w:rsid w:val="00DB294B"/>
    <w:rsid w:val="00DB2D17"/>
    <w:rsid w:val="00DC29E4"/>
    <w:rsid w:val="00DD73BF"/>
    <w:rsid w:val="00DE69AB"/>
    <w:rsid w:val="00DE7232"/>
    <w:rsid w:val="00DF083E"/>
    <w:rsid w:val="00DF4B3D"/>
    <w:rsid w:val="00DF5D85"/>
    <w:rsid w:val="00DF7B5F"/>
    <w:rsid w:val="00E2187D"/>
    <w:rsid w:val="00E4456F"/>
    <w:rsid w:val="00E445A6"/>
    <w:rsid w:val="00E45AD8"/>
    <w:rsid w:val="00E53EEC"/>
    <w:rsid w:val="00E5614E"/>
    <w:rsid w:val="00E66937"/>
    <w:rsid w:val="00EA16A7"/>
    <w:rsid w:val="00EA4B7E"/>
    <w:rsid w:val="00EA69E2"/>
    <w:rsid w:val="00EB6166"/>
    <w:rsid w:val="00EB6B0A"/>
    <w:rsid w:val="00EC57B2"/>
    <w:rsid w:val="00EC5F21"/>
    <w:rsid w:val="00ED0C22"/>
    <w:rsid w:val="00EE6125"/>
    <w:rsid w:val="00F0339E"/>
    <w:rsid w:val="00F06780"/>
    <w:rsid w:val="00F11CC9"/>
    <w:rsid w:val="00F11EBB"/>
    <w:rsid w:val="00F33F42"/>
    <w:rsid w:val="00F41A42"/>
    <w:rsid w:val="00F5140A"/>
    <w:rsid w:val="00F61733"/>
    <w:rsid w:val="00F657A2"/>
    <w:rsid w:val="00F746AA"/>
    <w:rsid w:val="00F80CAA"/>
    <w:rsid w:val="00F84372"/>
    <w:rsid w:val="00F847F8"/>
    <w:rsid w:val="00F8532B"/>
    <w:rsid w:val="00F94A2A"/>
    <w:rsid w:val="00FA25FB"/>
    <w:rsid w:val="00FA408E"/>
    <w:rsid w:val="00FB5F39"/>
    <w:rsid w:val="00FD0969"/>
    <w:rsid w:val="00FD2681"/>
    <w:rsid w:val="00FD4ED9"/>
    <w:rsid w:val="16B21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批注框文本 Char"/>
    <w:basedOn w:val="7"/>
    <w:link w:val="2"/>
    <w:semiHidden/>
    <w:uiPriority w:val="99"/>
    <w:rPr>
      <w:sz w:val="18"/>
      <w:szCs w:val="18"/>
    </w:rPr>
  </w:style>
  <w:style w:type="character" w:styleId="12">
    <w:name w:val="Placeholder Text"/>
    <w:basedOn w:val="7"/>
    <w:semiHidden/>
    <w:uiPriority w:val="99"/>
    <w:rPr>
      <w:color w:val="808080"/>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A5ECE4-74CD-40F3-B787-DA53E199F82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58</Words>
  <Characters>337</Characters>
  <Lines>2</Lines>
  <Paragraphs>1</Paragraphs>
  <TotalTime>1294</TotalTime>
  <ScaleCrop>false</ScaleCrop>
  <LinksUpToDate>false</LinksUpToDate>
  <CharactersWithSpaces>394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2018-01-29T14:59:00Z</dcterms:created>
  <dc:creator>ASUS</dc:creator>
  <cp:lastModifiedBy>Administrator</cp:lastModifiedBy>
  <dcterms:modified xsi:type="dcterms:W3CDTF">2020-06-15T13:40:06Z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