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441979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可转债投资价值分析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41979" w:rsidRDefault="00441979" w:rsidP="00897FC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债具备</w:t>
      </w:r>
      <w:proofErr w:type="gramEnd"/>
      <w:r>
        <w:rPr>
          <w:rFonts w:ascii="仿宋" w:eastAsia="仿宋" w:hAnsi="仿宋" w:hint="eastAsia"/>
          <w:sz w:val="24"/>
          <w:szCs w:val="24"/>
        </w:rPr>
        <w:t>了股票和债券两者的属性，既有股票的增长特性，又有债券的安全和固定收益特性。去年</w:t>
      </w: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收益率都</w:t>
      </w:r>
      <w:proofErr w:type="gramStart"/>
      <w:r>
        <w:rPr>
          <w:rFonts w:ascii="仿宋" w:eastAsia="仿宋" w:hAnsi="仿宋" w:hint="eastAsia"/>
          <w:sz w:val="24"/>
          <w:szCs w:val="24"/>
        </w:rPr>
        <w:t>非常</w:t>
      </w:r>
      <w:proofErr w:type="gramEnd"/>
      <w:r>
        <w:rPr>
          <w:rFonts w:ascii="仿宋" w:eastAsia="仿宋" w:hAnsi="仿宋" w:hint="eastAsia"/>
          <w:sz w:val="24"/>
          <w:szCs w:val="24"/>
        </w:rPr>
        <w:t>棒，而且很多可转债也是一路高涨。</w:t>
      </w:r>
    </w:p>
    <w:p w:rsidR="004B66EE" w:rsidRPr="009D5AE2" w:rsidRDefault="00B9047E" w:rsidP="00B9047E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043D1935" wp14:editId="17B05525">
            <wp:extent cx="3177815" cy="4069433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7E" w:rsidRPr="007E5D6C" w:rsidRDefault="00240FC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模塑</w:t>
      </w:r>
      <w:r w:rsidR="00752836" w:rsidRPr="007E5D6C">
        <w:rPr>
          <w:rFonts w:ascii="仿宋" w:eastAsia="仿宋" w:hAnsi="仿宋" w:hint="eastAsia"/>
          <w:sz w:val="24"/>
          <w:szCs w:val="24"/>
        </w:rPr>
        <w:t>可转债在短短的三个月时间涨了一倍，成长性也是很好，作为风险可控的投资标的，可转</w:t>
      </w:r>
      <w:proofErr w:type="gramStart"/>
      <w:r w:rsidR="00752836" w:rsidRPr="007E5D6C">
        <w:rPr>
          <w:rFonts w:ascii="仿宋" w:eastAsia="仿宋" w:hAnsi="仿宋" w:hint="eastAsia"/>
          <w:sz w:val="24"/>
          <w:szCs w:val="24"/>
        </w:rPr>
        <w:t>债应该</w:t>
      </w:r>
      <w:proofErr w:type="gramEnd"/>
      <w:r w:rsidR="00752836" w:rsidRPr="007E5D6C">
        <w:rPr>
          <w:rFonts w:ascii="仿宋" w:eastAsia="仿宋" w:hAnsi="仿宋" w:hint="eastAsia"/>
          <w:sz w:val="24"/>
          <w:szCs w:val="24"/>
        </w:rPr>
        <w:t>被纳入到投资者的能力圈之内。</w:t>
      </w:r>
    </w:p>
    <w:p w:rsidR="00752836" w:rsidRDefault="00752836" w:rsidP="0016105F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0B6381" w:rsidRPr="00DA18F7" w:rsidRDefault="00DA18F7" w:rsidP="0016105F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480AFF">
        <w:rPr>
          <w:rFonts w:ascii="仿宋" w:eastAsia="仿宋" w:hAnsi="仿宋" w:hint="eastAsia"/>
          <w:b/>
          <w:sz w:val="24"/>
          <w:szCs w:val="24"/>
        </w:rPr>
        <w:t>、</w:t>
      </w:r>
      <w:r w:rsidR="00240FC2">
        <w:rPr>
          <w:rFonts w:ascii="仿宋" w:eastAsia="仿宋" w:hAnsi="仿宋" w:hint="eastAsia"/>
          <w:b/>
          <w:sz w:val="24"/>
          <w:szCs w:val="24"/>
        </w:rPr>
        <w:t>可转债介绍</w:t>
      </w:r>
    </w:p>
    <w:p w:rsidR="00DB2B04" w:rsidRPr="00AF7FAA" w:rsidRDefault="00DB2B04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F67CD" w:rsidRDefault="00240FC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可转债是一种低利率，在特定时间按照特定条件可以转换成普通股票的企业债券</w:t>
      </w:r>
      <w:r w:rsidR="00897FCA">
        <w:rPr>
          <w:rFonts w:ascii="仿宋" w:eastAsia="仿宋" w:hAnsi="仿宋" w:hint="eastAsia"/>
          <w:sz w:val="24"/>
          <w:szCs w:val="24"/>
        </w:rPr>
        <w:t>。</w:t>
      </w:r>
    </w:p>
    <w:p w:rsidR="00240FC2" w:rsidRDefault="00240FC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40FC2" w:rsidRDefault="00240FC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债有着</w:t>
      </w:r>
      <w:proofErr w:type="gramEnd"/>
      <w:r>
        <w:rPr>
          <w:rFonts w:ascii="仿宋" w:eastAsia="仿宋" w:hAnsi="仿宋" w:hint="eastAsia"/>
          <w:sz w:val="24"/>
          <w:szCs w:val="24"/>
        </w:rPr>
        <w:t>严格的发行条件，第一企业最近三年要连续盈利，且最近3年净资产收益率在10%以上，保证了一定的利润，第二发行后的可转债对应公司的资产负债率不能够超过70%，控制了公司的债务，第三累计债券余额不能够超过公司净资产的40%，控制了可转债的成长性。</w:t>
      </w:r>
    </w:p>
    <w:p w:rsidR="00240FC2" w:rsidRDefault="00240FC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40FC2" w:rsidRDefault="00240FC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如果发行可转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债严格</w:t>
      </w:r>
      <w:proofErr w:type="gramEnd"/>
      <w:r>
        <w:rPr>
          <w:rFonts w:ascii="仿宋" w:eastAsia="仿宋" w:hAnsi="仿宋" w:hint="eastAsia"/>
          <w:sz w:val="24"/>
          <w:szCs w:val="24"/>
        </w:rPr>
        <w:t>按照这些条件，那么发行可转债的公司都是A股排名靠前的公司，所以可转债的质量一般很高，很少出现违约情况。</w:t>
      </w:r>
    </w:p>
    <w:p w:rsidR="00240FC2" w:rsidRPr="00240FC2" w:rsidRDefault="00240FC2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240FC2" w:rsidRDefault="00240FC2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06D15" w:rsidRDefault="008F67CD" w:rsidP="00D06D15">
      <w:pPr>
        <w:jc w:val="left"/>
        <w:rPr>
          <w:rFonts w:ascii="仿宋" w:eastAsia="仿宋" w:hAnsi="仿宋"/>
          <w:b/>
          <w:sz w:val="24"/>
          <w:szCs w:val="24"/>
        </w:rPr>
      </w:pPr>
      <w:r w:rsidRPr="00D87657">
        <w:rPr>
          <w:rFonts w:ascii="仿宋" w:eastAsia="仿宋" w:hAnsi="仿宋"/>
          <w:b/>
          <w:sz w:val="24"/>
          <w:szCs w:val="24"/>
        </w:rPr>
        <w:lastRenderedPageBreak/>
        <w:t>2、</w:t>
      </w:r>
      <w:r w:rsidR="00240FC2">
        <w:rPr>
          <w:rFonts w:ascii="仿宋" w:eastAsia="仿宋" w:hAnsi="仿宋" w:hint="eastAsia"/>
          <w:b/>
          <w:sz w:val="24"/>
          <w:szCs w:val="24"/>
        </w:rPr>
        <w:t>可转</w:t>
      </w:r>
      <w:proofErr w:type="gramStart"/>
      <w:r w:rsidR="00240FC2">
        <w:rPr>
          <w:rFonts w:ascii="仿宋" w:eastAsia="仿宋" w:hAnsi="仿宋" w:hint="eastAsia"/>
          <w:b/>
          <w:sz w:val="24"/>
          <w:szCs w:val="24"/>
        </w:rPr>
        <w:t>债价格</w:t>
      </w:r>
      <w:proofErr w:type="gramEnd"/>
      <w:r w:rsidR="00240FC2">
        <w:rPr>
          <w:rFonts w:ascii="仿宋" w:eastAsia="仿宋" w:hAnsi="仿宋" w:hint="eastAsia"/>
          <w:b/>
          <w:sz w:val="24"/>
          <w:szCs w:val="24"/>
        </w:rPr>
        <w:t>的影响因素</w:t>
      </w:r>
    </w:p>
    <w:p w:rsidR="008E6BCD" w:rsidRPr="008F67CD" w:rsidRDefault="008E6BCD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0A1743" w:rsidRDefault="000A1743" w:rsidP="00240FC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是利率，可转债本质上是债券和看涨期权结合的金融衍生品。根据资产定价公式，利率下行债券价值越高。对于看涨期权，利率越高，期权的终值在当前的折现就越低，那么对期权购买人有利，看涨期权的价值就上升。所以利率越高，期权价值越高。</w:t>
      </w:r>
    </w:p>
    <w:p w:rsidR="000A1743" w:rsidRDefault="000A1743" w:rsidP="00240FC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1743" w:rsidRDefault="000A1743" w:rsidP="00240FC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债券的价值变化对利率的敏感性高于看涨期权，所以整体利率影响可转债的价值体现在：当利率下行的时候，可转债投资的价值越高。</w:t>
      </w:r>
    </w:p>
    <w:p w:rsidR="000A1743" w:rsidRDefault="000A1743" w:rsidP="00240FC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1743" w:rsidRDefault="000A1743" w:rsidP="00240FC2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第二是转股价格，可转债的转股价格越高，那么每张可转债的转股比例越小，那么可转债的价值在股票价格一定时就会越低。</w:t>
      </w:r>
    </w:p>
    <w:p w:rsidR="00454F45" w:rsidRDefault="00454F45" w:rsidP="00454F45">
      <w:pPr>
        <w:jc w:val="center"/>
        <w:rPr>
          <w:rFonts w:ascii="仿宋" w:eastAsia="仿宋" w:hAnsi="仿宋"/>
          <w:sz w:val="24"/>
          <w:szCs w:val="24"/>
        </w:rPr>
      </w:pPr>
    </w:p>
    <w:p w:rsidR="00897FCA" w:rsidRDefault="000A1743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第三是</w:t>
      </w:r>
      <w:r w:rsidR="001961B2">
        <w:rPr>
          <w:rFonts w:ascii="仿宋" w:eastAsia="仿宋" w:hAnsi="仿宋" w:hint="eastAsia"/>
          <w:sz w:val="24"/>
          <w:szCs w:val="24"/>
        </w:rPr>
        <w:t>到期期限，可转债到期期限越长，投资价值越高。</w:t>
      </w:r>
    </w:p>
    <w:p w:rsidR="001961B2" w:rsidRDefault="001961B2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961B2" w:rsidRDefault="001961B2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第五是转股溢价率，转股溢价率越低，可转债的投资价值越高，在经济处于衰退和复苏周期的时候可转债的投资价值会有所显现。</w:t>
      </w:r>
    </w:p>
    <w:p w:rsidR="006952F7" w:rsidRDefault="006952F7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D023ED" w:rsidRPr="008F67CD" w:rsidRDefault="00D023ED" w:rsidP="00D023ED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3</w:t>
      </w:r>
      <w:r w:rsidRPr="00D87657">
        <w:rPr>
          <w:rFonts w:ascii="仿宋" w:eastAsia="仿宋" w:hAnsi="仿宋"/>
          <w:b/>
          <w:sz w:val="24"/>
          <w:szCs w:val="24"/>
        </w:rPr>
        <w:t>、</w:t>
      </w:r>
      <w:r w:rsidR="001961B2">
        <w:rPr>
          <w:rFonts w:ascii="仿宋" w:eastAsia="仿宋" w:hAnsi="仿宋" w:hint="eastAsia"/>
          <w:b/>
          <w:sz w:val="24"/>
          <w:szCs w:val="24"/>
        </w:rPr>
        <w:t>投资可转债的方法</w:t>
      </w:r>
    </w:p>
    <w:p w:rsidR="000D596E" w:rsidRPr="00D023ED" w:rsidRDefault="000D596E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4E1ECF" w:rsidRDefault="001961B2" w:rsidP="001961B2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根据国</w:t>
      </w:r>
      <w:proofErr w:type="gramStart"/>
      <w:r>
        <w:rPr>
          <w:rFonts w:ascii="仿宋" w:eastAsia="仿宋" w:hAnsi="仿宋" w:hint="eastAsia"/>
          <w:sz w:val="24"/>
          <w:szCs w:val="24"/>
        </w:rPr>
        <w:t>海证券</w:t>
      </w:r>
      <w:proofErr w:type="gramEnd"/>
      <w:r>
        <w:rPr>
          <w:rFonts w:ascii="仿宋" w:eastAsia="仿宋" w:hAnsi="仿宋" w:hint="eastAsia"/>
          <w:sz w:val="24"/>
          <w:szCs w:val="24"/>
        </w:rPr>
        <w:t>研究所的研究显示：在2020年1月20日到2020年2月9日这个时间段，</w:t>
      </w:r>
      <w:r w:rsidRPr="001961B2">
        <w:rPr>
          <w:rFonts w:ascii="仿宋" w:eastAsia="仿宋" w:hAnsi="仿宋"/>
          <w:sz w:val="24"/>
          <w:szCs w:val="24"/>
        </w:rPr>
        <w:t>其中有82只转</w:t>
      </w:r>
      <w:proofErr w:type="gramStart"/>
      <w:r w:rsidRPr="001961B2">
        <w:rPr>
          <w:rFonts w:ascii="仿宋" w:eastAsia="仿宋" w:hAnsi="仿宋"/>
          <w:sz w:val="24"/>
          <w:szCs w:val="24"/>
        </w:rPr>
        <w:t>债价格</w:t>
      </w:r>
      <w:proofErr w:type="gramEnd"/>
      <w:r w:rsidRPr="001961B2">
        <w:rPr>
          <w:rFonts w:ascii="仿宋" w:eastAsia="仿宋" w:hAnsi="仿宋"/>
          <w:sz w:val="24"/>
          <w:szCs w:val="24"/>
        </w:rPr>
        <w:t>上涨，其中涨幅前</w:t>
      </w:r>
      <w:proofErr w:type="gramStart"/>
      <w:r w:rsidRPr="001961B2">
        <w:rPr>
          <w:rFonts w:ascii="仿宋" w:eastAsia="仿宋" w:hAnsi="仿宋"/>
          <w:sz w:val="24"/>
          <w:szCs w:val="24"/>
        </w:rPr>
        <w:t>五分别</w:t>
      </w:r>
      <w:proofErr w:type="gramEnd"/>
      <w:r w:rsidRPr="001961B2">
        <w:rPr>
          <w:rFonts w:ascii="仿宋" w:eastAsia="仿宋" w:hAnsi="仿宋"/>
          <w:sz w:val="24"/>
          <w:szCs w:val="24"/>
        </w:rPr>
        <w:t>是</w:t>
      </w:r>
      <w:proofErr w:type="gramStart"/>
      <w:r w:rsidRPr="001961B2">
        <w:rPr>
          <w:rFonts w:ascii="仿宋" w:eastAsia="仿宋" w:hAnsi="仿宋"/>
          <w:sz w:val="24"/>
          <w:szCs w:val="24"/>
        </w:rPr>
        <w:t>振德转债</w:t>
      </w:r>
      <w:proofErr w:type="gramEnd"/>
      <w:r w:rsidRPr="001961B2">
        <w:rPr>
          <w:rFonts w:ascii="仿宋" w:eastAsia="仿宋" w:hAnsi="仿宋"/>
          <w:sz w:val="24"/>
          <w:szCs w:val="24"/>
        </w:rPr>
        <w:t>（85.06%）、</w:t>
      </w:r>
      <w:hyperlink r:id="rId10" w:history="1">
        <w:r w:rsidRPr="001961B2">
          <w:rPr>
            <w:rFonts w:ascii="仿宋" w:eastAsia="仿宋" w:hAnsi="仿宋"/>
            <w:sz w:val="24"/>
            <w:szCs w:val="24"/>
          </w:rPr>
          <w:t>尚荣转债</w:t>
        </w:r>
      </w:hyperlink>
      <w:r w:rsidRPr="001961B2">
        <w:rPr>
          <w:rFonts w:ascii="仿宋" w:eastAsia="仿宋" w:hAnsi="仿宋"/>
          <w:sz w:val="24"/>
          <w:szCs w:val="24"/>
        </w:rPr>
        <w:t>（79.28%）、</w:t>
      </w:r>
      <w:hyperlink r:id="rId11" w:history="1">
        <w:r w:rsidRPr="001961B2">
          <w:rPr>
            <w:rFonts w:ascii="仿宋" w:eastAsia="仿宋" w:hAnsi="仿宋"/>
            <w:sz w:val="24"/>
            <w:szCs w:val="24"/>
          </w:rPr>
          <w:t>模塑转债</w:t>
        </w:r>
      </w:hyperlink>
      <w:r w:rsidRPr="001961B2">
        <w:rPr>
          <w:rFonts w:ascii="仿宋" w:eastAsia="仿宋" w:hAnsi="仿宋"/>
          <w:sz w:val="24"/>
          <w:szCs w:val="24"/>
        </w:rPr>
        <w:t>（56.39%）、</w:t>
      </w:r>
      <w:proofErr w:type="gramStart"/>
      <w:r w:rsidRPr="001961B2">
        <w:rPr>
          <w:rFonts w:ascii="仿宋" w:eastAsia="仿宋" w:hAnsi="仿宋"/>
          <w:sz w:val="24"/>
          <w:szCs w:val="24"/>
        </w:rPr>
        <w:t>璞泰转</w:t>
      </w:r>
      <w:proofErr w:type="gramEnd"/>
      <w:r w:rsidRPr="001961B2">
        <w:rPr>
          <w:rFonts w:ascii="仿宋" w:eastAsia="仿宋" w:hAnsi="仿宋"/>
          <w:sz w:val="24"/>
          <w:szCs w:val="24"/>
        </w:rPr>
        <w:t>债（38.55%）、</w:t>
      </w:r>
      <w:proofErr w:type="gramStart"/>
      <w:r w:rsidRPr="001961B2">
        <w:rPr>
          <w:rFonts w:ascii="仿宋" w:eastAsia="仿宋" w:hAnsi="仿宋"/>
          <w:sz w:val="24"/>
          <w:szCs w:val="24"/>
        </w:rPr>
        <w:t>汽模转</w:t>
      </w:r>
      <w:proofErr w:type="gramEnd"/>
      <w:r w:rsidRPr="001961B2">
        <w:rPr>
          <w:rFonts w:ascii="仿宋" w:eastAsia="仿宋" w:hAnsi="仿宋"/>
          <w:sz w:val="24"/>
          <w:szCs w:val="24"/>
        </w:rPr>
        <w:t>2（32.30%）；有143只转</w:t>
      </w:r>
      <w:proofErr w:type="gramStart"/>
      <w:r w:rsidRPr="001961B2">
        <w:rPr>
          <w:rFonts w:ascii="仿宋" w:eastAsia="仿宋" w:hAnsi="仿宋"/>
          <w:sz w:val="24"/>
          <w:szCs w:val="24"/>
        </w:rPr>
        <w:t>债价格</w:t>
      </w:r>
      <w:proofErr w:type="gramEnd"/>
      <w:r w:rsidRPr="001961B2">
        <w:rPr>
          <w:rFonts w:ascii="仿宋" w:eastAsia="仿宋" w:hAnsi="仿宋"/>
          <w:sz w:val="24"/>
          <w:szCs w:val="24"/>
        </w:rPr>
        <w:t>下跌，其中跌幅前</w:t>
      </w:r>
      <w:proofErr w:type="gramStart"/>
      <w:r w:rsidRPr="001961B2">
        <w:rPr>
          <w:rFonts w:ascii="仿宋" w:eastAsia="仿宋" w:hAnsi="仿宋"/>
          <w:sz w:val="24"/>
          <w:szCs w:val="24"/>
        </w:rPr>
        <w:t>五分别</w:t>
      </w:r>
      <w:proofErr w:type="gramEnd"/>
      <w:r w:rsidRPr="001961B2">
        <w:rPr>
          <w:rFonts w:ascii="仿宋" w:eastAsia="仿宋" w:hAnsi="仿宋"/>
          <w:sz w:val="24"/>
          <w:szCs w:val="24"/>
        </w:rPr>
        <w:t>是</w:t>
      </w:r>
      <w:hyperlink r:id="rId12" w:history="1">
        <w:proofErr w:type="gramStart"/>
        <w:r w:rsidRPr="001961B2">
          <w:rPr>
            <w:rFonts w:ascii="仿宋" w:eastAsia="仿宋" w:hAnsi="仿宋"/>
            <w:sz w:val="24"/>
            <w:szCs w:val="24"/>
          </w:rPr>
          <w:t>凯</w:t>
        </w:r>
        <w:proofErr w:type="gramEnd"/>
        <w:r w:rsidRPr="001961B2">
          <w:rPr>
            <w:rFonts w:ascii="仿宋" w:eastAsia="仿宋" w:hAnsi="仿宋"/>
            <w:sz w:val="24"/>
            <w:szCs w:val="24"/>
          </w:rPr>
          <w:t>龙转债</w:t>
        </w:r>
      </w:hyperlink>
      <w:r w:rsidRPr="001961B2">
        <w:rPr>
          <w:rFonts w:ascii="仿宋" w:eastAsia="仿宋" w:hAnsi="仿宋"/>
          <w:sz w:val="24"/>
          <w:szCs w:val="24"/>
        </w:rPr>
        <w:t>（-19.51%）、</w:t>
      </w:r>
      <w:hyperlink r:id="rId13" w:history="1">
        <w:r w:rsidRPr="001961B2">
          <w:rPr>
            <w:rFonts w:ascii="仿宋" w:eastAsia="仿宋" w:hAnsi="仿宋"/>
            <w:sz w:val="24"/>
            <w:szCs w:val="24"/>
          </w:rPr>
          <w:t>特发转债</w:t>
        </w:r>
      </w:hyperlink>
      <w:r w:rsidRPr="001961B2">
        <w:rPr>
          <w:rFonts w:ascii="仿宋" w:eastAsia="仿宋" w:hAnsi="仿宋"/>
          <w:sz w:val="24"/>
          <w:szCs w:val="24"/>
        </w:rPr>
        <w:t>（-13.88%）、</w:t>
      </w:r>
      <w:hyperlink r:id="rId14" w:history="1">
        <w:r w:rsidRPr="001961B2">
          <w:rPr>
            <w:rFonts w:ascii="仿宋" w:eastAsia="仿宋" w:hAnsi="仿宋"/>
            <w:sz w:val="24"/>
            <w:szCs w:val="24"/>
          </w:rPr>
          <w:t>中装转债</w:t>
        </w:r>
      </w:hyperlink>
      <w:r w:rsidRPr="001961B2">
        <w:rPr>
          <w:rFonts w:ascii="仿宋" w:eastAsia="仿宋" w:hAnsi="仿宋"/>
          <w:sz w:val="24"/>
          <w:szCs w:val="24"/>
        </w:rPr>
        <w:t>（-13.74%）、</w:t>
      </w:r>
      <w:hyperlink r:id="rId15" w:history="1">
        <w:proofErr w:type="gramStart"/>
        <w:r w:rsidRPr="001961B2">
          <w:rPr>
            <w:rFonts w:ascii="仿宋" w:eastAsia="仿宋" w:hAnsi="仿宋"/>
            <w:sz w:val="24"/>
            <w:szCs w:val="24"/>
          </w:rPr>
          <w:t>德尔转债</w:t>
        </w:r>
        <w:proofErr w:type="gramEnd"/>
      </w:hyperlink>
      <w:r w:rsidRPr="001961B2">
        <w:rPr>
          <w:rFonts w:ascii="仿宋" w:eastAsia="仿宋" w:hAnsi="仿宋"/>
          <w:sz w:val="24"/>
          <w:szCs w:val="24"/>
        </w:rPr>
        <w:t>（-11.45%）、</w:t>
      </w:r>
      <w:hyperlink r:id="rId16" w:history="1">
        <w:r w:rsidRPr="001961B2">
          <w:rPr>
            <w:rFonts w:ascii="仿宋" w:eastAsia="仿宋" w:hAnsi="仿宋"/>
            <w:sz w:val="24"/>
            <w:szCs w:val="24"/>
          </w:rPr>
          <w:t>和</w:t>
        </w:r>
        <w:proofErr w:type="gramStart"/>
        <w:r w:rsidRPr="001961B2">
          <w:rPr>
            <w:rFonts w:ascii="仿宋" w:eastAsia="仿宋" w:hAnsi="仿宋"/>
            <w:sz w:val="24"/>
            <w:szCs w:val="24"/>
          </w:rPr>
          <w:t>而</w:t>
        </w:r>
        <w:proofErr w:type="gramEnd"/>
        <w:r w:rsidRPr="001961B2">
          <w:rPr>
            <w:rFonts w:ascii="仿宋" w:eastAsia="仿宋" w:hAnsi="仿宋"/>
            <w:sz w:val="24"/>
            <w:szCs w:val="24"/>
          </w:rPr>
          <w:t>转债</w:t>
        </w:r>
      </w:hyperlink>
      <w:r w:rsidRPr="001961B2">
        <w:rPr>
          <w:rFonts w:ascii="仿宋" w:eastAsia="仿宋" w:hAnsi="仿宋"/>
          <w:sz w:val="24"/>
          <w:szCs w:val="24"/>
        </w:rPr>
        <w:t>（-11.08%）</w:t>
      </w:r>
      <w:r>
        <w:rPr>
          <w:rFonts w:ascii="Helvetica" w:hAnsi="Helvetica"/>
          <w:color w:val="33353C"/>
          <w:sz w:val="27"/>
          <w:szCs w:val="27"/>
        </w:rPr>
        <w:br/>
      </w:r>
    </w:p>
    <w:p w:rsidR="004E1ECF" w:rsidRDefault="001961B2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从数据对比，可转债涨幅高，跌幅也不低。对于普通投资者缺乏挑选可转债的能力，可以选择通过投资可转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债基金</w:t>
      </w:r>
      <w:proofErr w:type="gramEnd"/>
      <w:r>
        <w:rPr>
          <w:rFonts w:ascii="仿宋" w:eastAsia="仿宋" w:hAnsi="仿宋" w:hint="eastAsia"/>
          <w:sz w:val="24"/>
          <w:szCs w:val="24"/>
        </w:rPr>
        <w:t>来投资可转债。</w:t>
      </w:r>
    </w:p>
    <w:p w:rsidR="001961B2" w:rsidRDefault="001961B2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961B2" w:rsidRDefault="001961B2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目前市场上比较优质的可转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债基金</w:t>
      </w:r>
      <w:proofErr w:type="gramEnd"/>
      <w:r>
        <w:rPr>
          <w:rFonts w:ascii="仿宋" w:eastAsia="仿宋" w:hAnsi="仿宋" w:hint="eastAsia"/>
          <w:sz w:val="24"/>
          <w:szCs w:val="24"/>
        </w:rPr>
        <w:t>有：</w:t>
      </w:r>
    </w:p>
    <w:p w:rsidR="001961B2" w:rsidRDefault="001961B2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961B2" w:rsidRDefault="001961B2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富国可转债（代码：100051）：近三年累计收益率22.06%，</w:t>
      </w:r>
      <w:r w:rsidR="00AA6278">
        <w:rPr>
          <w:rFonts w:ascii="仿宋" w:eastAsia="仿宋" w:hAnsi="仿宋" w:hint="eastAsia"/>
          <w:sz w:val="24"/>
          <w:szCs w:val="24"/>
        </w:rPr>
        <w:t>同期沪深300收益率15.24%；兴全可转债（代码：340001）：近三年累计收益率28.46%；易方达安心回报债（代码：110027）：近三年累计收益率27.34%；中欧可转</w:t>
      </w:r>
      <w:proofErr w:type="gramStart"/>
      <w:r w:rsidR="00AA6278">
        <w:rPr>
          <w:rFonts w:ascii="仿宋" w:eastAsia="仿宋" w:hAnsi="仿宋" w:hint="eastAsia"/>
          <w:sz w:val="24"/>
          <w:szCs w:val="24"/>
        </w:rPr>
        <w:t>债</w:t>
      </w:r>
      <w:proofErr w:type="gramEnd"/>
      <w:r w:rsidR="00AA6278">
        <w:rPr>
          <w:rFonts w:ascii="仿宋" w:eastAsia="仿宋" w:hAnsi="仿宋" w:hint="eastAsia"/>
          <w:sz w:val="24"/>
          <w:szCs w:val="24"/>
        </w:rPr>
        <w:t>债券A（代码：004993）：2年96天收益率26.24%。</w:t>
      </w:r>
      <w:bookmarkStart w:id="0" w:name="_GoBack"/>
      <w:bookmarkEnd w:id="0"/>
    </w:p>
    <w:p w:rsidR="00AA6278" w:rsidRDefault="00AA6278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A6278" w:rsidRPr="001961B2" w:rsidRDefault="00AA6278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这些可转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债基金</w:t>
      </w:r>
      <w:proofErr w:type="gramEnd"/>
      <w:r>
        <w:rPr>
          <w:rFonts w:ascii="仿宋" w:eastAsia="仿宋" w:hAnsi="仿宋" w:hint="eastAsia"/>
          <w:sz w:val="24"/>
          <w:szCs w:val="24"/>
        </w:rPr>
        <w:t>都是不错的品种，投资者选择其中一到二只投资即可。</w:t>
      </w:r>
    </w:p>
    <w:p w:rsidR="004E1ECF" w:rsidRPr="00475C40" w:rsidRDefault="004E1ECF" w:rsidP="00B56CAC">
      <w:pPr>
        <w:jc w:val="left"/>
        <w:rPr>
          <w:rFonts w:ascii="仿宋" w:eastAsia="仿宋" w:hAnsi="仿宋"/>
          <w:sz w:val="24"/>
          <w:szCs w:val="24"/>
        </w:rPr>
      </w:pPr>
    </w:p>
    <w:sectPr w:rsidR="004E1ECF" w:rsidRPr="00475C40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CB3" w:rsidRDefault="00465CB3" w:rsidP="00BB71F5">
      <w:r>
        <w:separator/>
      </w:r>
    </w:p>
  </w:endnote>
  <w:endnote w:type="continuationSeparator" w:id="0">
    <w:p w:rsidR="00465CB3" w:rsidRDefault="00465CB3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CB3" w:rsidRDefault="00465CB3" w:rsidP="00BB71F5">
      <w:r>
        <w:separator/>
      </w:r>
    </w:p>
  </w:footnote>
  <w:footnote w:type="continuationSeparator" w:id="0">
    <w:p w:rsidR="00465CB3" w:rsidRDefault="00465CB3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7B224E"/>
    <w:multiLevelType w:val="hybridMultilevel"/>
    <w:tmpl w:val="F5765C74"/>
    <w:lvl w:ilvl="0" w:tplc="7B40B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43009"/>
    <w:rsid w:val="00051DDB"/>
    <w:rsid w:val="0007522E"/>
    <w:rsid w:val="00075C09"/>
    <w:rsid w:val="00077FD8"/>
    <w:rsid w:val="00080F66"/>
    <w:rsid w:val="000964AF"/>
    <w:rsid w:val="00097946"/>
    <w:rsid w:val="000A0906"/>
    <w:rsid w:val="000A1743"/>
    <w:rsid w:val="000A2F1D"/>
    <w:rsid w:val="000A5892"/>
    <w:rsid w:val="000B5CBD"/>
    <w:rsid w:val="000B6381"/>
    <w:rsid w:val="000C384A"/>
    <w:rsid w:val="000C3DEE"/>
    <w:rsid w:val="000C637D"/>
    <w:rsid w:val="000D19E3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04E7"/>
    <w:rsid w:val="0016105F"/>
    <w:rsid w:val="00167DF2"/>
    <w:rsid w:val="00180BCC"/>
    <w:rsid w:val="00181DB7"/>
    <w:rsid w:val="0019431A"/>
    <w:rsid w:val="00196047"/>
    <w:rsid w:val="001961B2"/>
    <w:rsid w:val="001A48C5"/>
    <w:rsid w:val="001A6305"/>
    <w:rsid w:val="001B1F12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6697"/>
    <w:rsid w:val="0021772B"/>
    <w:rsid w:val="00220935"/>
    <w:rsid w:val="002259C7"/>
    <w:rsid w:val="00234DC7"/>
    <w:rsid w:val="00235AF6"/>
    <w:rsid w:val="00240FC2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87548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0C15"/>
    <w:rsid w:val="00343511"/>
    <w:rsid w:val="0034437D"/>
    <w:rsid w:val="00347328"/>
    <w:rsid w:val="00355C37"/>
    <w:rsid w:val="0036577D"/>
    <w:rsid w:val="00375D65"/>
    <w:rsid w:val="0038130F"/>
    <w:rsid w:val="00390E16"/>
    <w:rsid w:val="00394A0E"/>
    <w:rsid w:val="003A086B"/>
    <w:rsid w:val="003A094D"/>
    <w:rsid w:val="003B0BC1"/>
    <w:rsid w:val="003B1B3E"/>
    <w:rsid w:val="003B2109"/>
    <w:rsid w:val="003C0936"/>
    <w:rsid w:val="003C718A"/>
    <w:rsid w:val="003D00B8"/>
    <w:rsid w:val="003F41BA"/>
    <w:rsid w:val="003F6708"/>
    <w:rsid w:val="00402923"/>
    <w:rsid w:val="00406A9C"/>
    <w:rsid w:val="0041549E"/>
    <w:rsid w:val="004209EC"/>
    <w:rsid w:val="00423681"/>
    <w:rsid w:val="00427EA3"/>
    <w:rsid w:val="0043753A"/>
    <w:rsid w:val="00437E34"/>
    <w:rsid w:val="00441979"/>
    <w:rsid w:val="00441C82"/>
    <w:rsid w:val="00454F45"/>
    <w:rsid w:val="004570B6"/>
    <w:rsid w:val="004600C9"/>
    <w:rsid w:val="004607A3"/>
    <w:rsid w:val="00465CB3"/>
    <w:rsid w:val="0046664A"/>
    <w:rsid w:val="00475C40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1ECF"/>
    <w:rsid w:val="004E3C0B"/>
    <w:rsid w:val="004E708C"/>
    <w:rsid w:val="004F3074"/>
    <w:rsid w:val="004F30A0"/>
    <w:rsid w:val="004F7DFD"/>
    <w:rsid w:val="0051045E"/>
    <w:rsid w:val="00515E2E"/>
    <w:rsid w:val="00527FD7"/>
    <w:rsid w:val="00536D7F"/>
    <w:rsid w:val="00552301"/>
    <w:rsid w:val="00553115"/>
    <w:rsid w:val="0055394A"/>
    <w:rsid w:val="00561015"/>
    <w:rsid w:val="00567792"/>
    <w:rsid w:val="0057092C"/>
    <w:rsid w:val="00570E4C"/>
    <w:rsid w:val="00594673"/>
    <w:rsid w:val="0059529E"/>
    <w:rsid w:val="005C42A8"/>
    <w:rsid w:val="005D3564"/>
    <w:rsid w:val="005D5B59"/>
    <w:rsid w:val="005D65C8"/>
    <w:rsid w:val="005D7D13"/>
    <w:rsid w:val="005E04D3"/>
    <w:rsid w:val="005E631B"/>
    <w:rsid w:val="005F03F9"/>
    <w:rsid w:val="005F38E8"/>
    <w:rsid w:val="006016AA"/>
    <w:rsid w:val="00604F44"/>
    <w:rsid w:val="00613177"/>
    <w:rsid w:val="00613C14"/>
    <w:rsid w:val="006315E0"/>
    <w:rsid w:val="0063260F"/>
    <w:rsid w:val="00633D7F"/>
    <w:rsid w:val="00635902"/>
    <w:rsid w:val="006364FD"/>
    <w:rsid w:val="00644271"/>
    <w:rsid w:val="006540AB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52F7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D02B1"/>
    <w:rsid w:val="006D10AB"/>
    <w:rsid w:val="006D5F37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52836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408F"/>
    <w:rsid w:val="007D64D5"/>
    <w:rsid w:val="007E19C5"/>
    <w:rsid w:val="007E5D6C"/>
    <w:rsid w:val="007E6D6E"/>
    <w:rsid w:val="007F00E9"/>
    <w:rsid w:val="007F27E0"/>
    <w:rsid w:val="007F4920"/>
    <w:rsid w:val="008008F9"/>
    <w:rsid w:val="008033C1"/>
    <w:rsid w:val="00810B3A"/>
    <w:rsid w:val="00814AFA"/>
    <w:rsid w:val="00833FEB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0C2"/>
    <w:rsid w:val="00882A55"/>
    <w:rsid w:val="00883A92"/>
    <w:rsid w:val="0088746F"/>
    <w:rsid w:val="00896C16"/>
    <w:rsid w:val="00897FCA"/>
    <w:rsid w:val="008A2BFC"/>
    <w:rsid w:val="008B12B4"/>
    <w:rsid w:val="008B13C4"/>
    <w:rsid w:val="008B1C4D"/>
    <w:rsid w:val="008B4E8D"/>
    <w:rsid w:val="008C616B"/>
    <w:rsid w:val="008D7092"/>
    <w:rsid w:val="008E6BCD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40F05"/>
    <w:rsid w:val="0094152B"/>
    <w:rsid w:val="00943574"/>
    <w:rsid w:val="00945A01"/>
    <w:rsid w:val="00956C98"/>
    <w:rsid w:val="009730B3"/>
    <w:rsid w:val="00974ED1"/>
    <w:rsid w:val="0099475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47DF4"/>
    <w:rsid w:val="00A56BDE"/>
    <w:rsid w:val="00A65690"/>
    <w:rsid w:val="00A70309"/>
    <w:rsid w:val="00A718DF"/>
    <w:rsid w:val="00A901F1"/>
    <w:rsid w:val="00A9658D"/>
    <w:rsid w:val="00A968FF"/>
    <w:rsid w:val="00A974AE"/>
    <w:rsid w:val="00AA4374"/>
    <w:rsid w:val="00AA6278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77BE9"/>
    <w:rsid w:val="00B80DF2"/>
    <w:rsid w:val="00B9047E"/>
    <w:rsid w:val="00B9336F"/>
    <w:rsid w:val="00B963FB"/>
    <w:rsid w:val="00BA1AC1"/>
    <w:rsid w:val="00BB71F5"/>
    <w:rsid w:val="00BC5013"/>
    <w:rsid w:val="00BC7297"/>
    <w:rsid w:val="00BD2582"/>
    <w:rsid w:val="00BD44F8"/>
    <w:rsid w:val="00BE19A3"/>
    <w:rsid w:val="00BF0A33"/>
    <w:rsid w:val="00BF3540"/>
    <w:rsid w:val="00BF35F0"/>
    <w:rsid w:val="00BF75EE"/>
    <w:rsid w:val="00C1184E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5F45"/>
    <w:rsid w:val="00CD12BB"/>
    <w:rsid w:val="00CF5F87"/>
    <w:rsid w:val="00CF65A4"/>
    <w:rsid w:val="00D023ED"/>
    <w:rsid w:val="00D06D15"/>
    <w:rsid w:val="00D12920"/>
    <w:rsid w:val="00D14CD0"/>
    <w:rsid w:val="00D15F38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5319"/>
    <w:rsid w:val="00DD32E0"/>
    <w:rsid w:val="00DE2737"/>
    <w:rsid w:val="00DE764E"/>
    <w:rsid w:val="00DF2CB3"/>
    <w:rsid w:val="00DF5DE1"/>
    <w:rsid w:val="00DF6EF2"/>
    <w:rsid w:val="00E03F92"/>
    <w:rsid w:val="00E069C3"/>
    <w:rsid w:val="00E11A4F"/>
    <w:rsid w:val="00E21DC6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02EA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1A8"/>
    <w:rsid w:val="00F55A3B"/>
    <w:rsid w:val="00F55E11"/>
    <w:rsid w:val="00F76D48"/>
    <w:rsid w:val="00F814D0"/>
    <w:rsid w:val="00F82970"/>
    <w:rsid w:val="00F90CB4"/>
    <w:rsid w:val="00F96843"/>
    <w:rsid w:val="00FA07A4"/>
    <w:rsid w:val="00FA6334"/>
    <w:rsid w:val="00FB3494"/>
    <w:rsid w:val="00FB67E6"/>
    <w:rsid w:val="00FB6DA8"/>
    <w:rsid w:val="00FC3426"/>
    <w:rsid w:val="00FE7619"/>
    <w:rsid w:val="00FF5C5C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ueqiu.com/S/SZ127008?from=status_stock_matc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xueqiu.com/S/SZ128052?from=status_stock_matc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xueqiu.com/S/SZ128068?from=status_stock_matc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xueqiu.com/S/SZ127004?from=status_stock_match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xueqiu.com/S/SZ123011?from=status_stock_match" TargetMode="External"/><Relationship Id="rId10" Type="http://schemas.openxmlformats.org/officeDocument/2006/relationships/hyperlink" Target="https://xueqiu.com/S/SZ128053?from=status_stock_match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xueqiu.com/S/SZ128060?from=status_stock_mat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D8135-6681-493F-B78C-87B3AE7F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</Pages>
  <Words>258</Words>
  <Characters>1476</Characters>
  <Application>Microsoft Office Word</Application>
  <DocSecurity>0</DocSecurity>
  <Lines>12</Lines>
  <Paragraphs>3</Paragraphs>
  <ScaleCrop>false</ScaleCrop>
  <Company>Microsoft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201</cp:revision>
  <cp:lastPrinted>2018-06-19T18:00:00Z</cp:lastPrinted>
  <dcterms:created xsi:type="dcterms:W3CDTF">2018-10-15T14:13:00Z</dcterms:created>
  <dcterms:modified xsi:type="dcterms:W3CDTF">2020-02-14T12:23:00Z</dcterms:modified>
</cp:coreProperties>
</file>