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恒生指数和恒生国企指数投资价值对比分析</w:t>
      </w: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center"/>
        <w:rPr>
          <w:rFonts w:hint="eastAsia" w:ascii="仿宋" w:hAnsi="仿宋" w:eastAsia="仿宋"/>
          <w:b w:val="0"/>
          <w:bCs w:val="0"/>
          <w:sz w:val="24"/>
          <w:szCs w:val="24"/>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恒生国企指数和恒生指数都同属于港股大盘股指数，而在细微之处有所差别。今天对比分析下恒生国企指数和恒生指数的投资价值。</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r>
        <w:rPr>
          <w:rFonts w:hint="eastAsia" w:ascii="仿宋" w:hAnsi="仿宋" w:eastAsia="仿宋"/>
          <w:b w:val="0"/>
          <w:bCs w:val="0"/>
          <w:sz w:val="26"/>
          <w:szCs w:val="26"/>
          <w:lang w:val="en-US" w:eastAsia="zh-CN"/>
        </w:rPr>
        <w:t>恒生指数是香港联交所挑选出的50只优质蓝筹股票。恒生国企指数又称为H股指数，H股指注册地在内地，但是上市地在香港的外资股票。</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恒生指数持仓行业主要分布在金融（</w:t>
      </w:r>
      <w:r>
        <w:rPr>
          <w:rFonts w:hint="default" w:ascii="仿宋" w:hAnsi="仿宋" w:eastAsia="仿宋"/>
          <w:b/>
          <w:bCs/>
          <w:sz w:val="26"/>
          <w:szCs w:val="26"/>
          <w:lang w:val="en-US" w:eastAsia="zh-CN"/>
        </w:rPr>
        <w:t>44.53%</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fldChar w:fldCharType="begin"/>
      </w:r>
      <w:r>
        <w:rPr>
          <w:rFonts w:hint="default" w:ascii="仿宋" w:hAnsi="仿宋" w:eastAsia="仿宋"/>
          <w:b/>
          <w:bCs/>
          <w:sz w:val="26"/>
          <w:szCs w:val="26"/>
          <w:lang w:val="en-US" w:eastAsia="zh-CN"/>
        </w:rPr>
        <w:instrText xml:space="preserve"> HYPERLINK "https://xueqiu.com/S/SZ159939?from=status_stock_match" </w:instrText>
      </w:r>
      <w:r>
        <w:rPr>
          <w:rFonts w:hint="default" w:ascii="仿宋" w:hAnsi="仿宋" w:eastAsia="仿宋"/>
          <w:b/>
          <w:bCs/>
          <w:sz w:val="26"/>
          <w:szCs w:val="26"/>
          <w:lang w:val="en-US" w:eastAsia="zh-CN"/>
        </w:rPr>
        <w:fldChar w:fldCharType="separate"/>
      </w:r>
      <w:r>
        <w:rPr>
          <w:rFonts w:hint="default" w:ascii="仿宋" w:hAnsi="仿宋" w:eastAsia="仿宋"/>
          <w:b/>
          <w:bCs/>
          <w:sz w:val="26"/>
          <w:szCs w:val="26"/>
          <w:lang w:val="en-US" w:eastAsia="zh-CN"/>
        </w:rPr>
        <w:t>信息技术</w:t>
      </w:r>
      <w:r>
        <w:rPr>
          <w:rFonts w:hint="default" w:ascii="仿宋" w:hAnsi="仿宋" w:eastAsia="仿宋"/>
          <w:b/>
          <w:bCs/>
          <w:sz w:val="26"/>
          <w:szCs w:val="26"/>
          <w:lang w:val="en-US" w:eastAsia="zh-CN"/>
        </w:rPr>
        <w:fldChar w:fldCharType="end"/>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16.35%</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能源</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9.57%</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fldChar w:fldCharType="begin"/>
      </w:r>
      <w:r>
        <w:rPr>
          <w:rFonts w:hint="default" w:ascii="仿宋" w:hAnsi="仿宋" w:eastAsia="仿宋"/>
          <w:b/>
          <w:bCs/>
          <w:sz w:val="26"/>
          <w:szCs w:val="26"/>
          <w:lang w:val="en-US" w:eastAsia="zh-CN"/>
        </w:rPr>
        <w:instrText xml:space="preserve"> HYPERLINK "https://xueqiu.com/S/SZ160628?from=status_stock_match" </w:instrText>
      </w:r>
      <w:r>
        <w:rPr>
          <w:rFonts w:hint="default" w:ascii="仿宋" w:hAnsi="仿宋" w:eastAsia="仿宋"/>
          <w:b/>
          <w:bCs/>
          <w:sz w:val="26"/>
          <w:szCs w:val="26"/>
          <w:lang w:val="en-US" w:eastAsia="zh-CN"/>
        </w:rPr>
        <w:fldChar w:fldCharType="separate"/>
      </w:r>
      <w:r>
        <w:rPr>
          <w:rFonts w:hint="default" w:ascii="仿宋" w:hAnsi="仿宋" w:eastAsia="仿宋"/>
          <w:b/>
          <w:bCs/>
          <w:sz w:val="26"/>
          <w:szCs w:val="26"/>
          <w:lang w:val="en-US" w:eastAsia="zh-CN"/>
        </w:rPr>
        <w:t>房地产</w:t>
      </w:r>
      <w:r>
        <w:rPr>
          <w:rFonts w:hint="default" w:ascii="仿宋" w:hAnsi="仿宋" w:eastAsia="仿宋"/>
          <w:b/>
          <w:bCs/>
          <w:sz w:val="26"/>
          <w:szCs w:val="26"/>
          <w:lang w:val="en-US" w:eastAsia="zh-CN"/>
        </w:rPr>
        <w:fldChar w:fldCharType="end"/>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9.38%</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电信服务</w:t>
      </w:r>
      <w:r>
        <w:rPr>
          <w:rFonts w:hint="eastAsia" w:ascii="仿宋" w:hAnsi="仿宋" w:eastAsia="仿宋"/>
          <w:b/>
          <w:bCs/>
          <w:sz w:val="26"/>
          <w:szCs w:val="26"/>
          <w:lang w:val="en-US" w:eastAsia="zh-CN"/>
        </w:rPr>
        <w:t>（</w:t>
      </w:r>
      <w:r>
        <w:rPr>
          <w:rFonts w:hint="default" w:ascii="仿宋" w:hAnsi="仿宋" w:eastAsia="仿宋"/>
          <w:b/>
          <w:bCs/>
          <w:sz w:val="26"/>
          <w:szCs w:val="26"/>
          <w:lang w:val="en-US" w:eastAsia="zh-CN"/>
        </w:rPr>
        <w:t>6.44%</w:t>
      </w:r>
      <w:r>
        <w:rPr>
          <w:rFonts w:hint="eastAsia" w:ascii="仿宋" w:hAnsi="仿宋" w:eastAsia="仿宋"/>
          <w:b/>
          <w:bCs/>
          <w:sz w:val="26"/>
          <w:szCs w:val="26"/>
          <w:lang w:val="en-US" w:eastAsia="zh-CN"/>
        </w:rPr>
        <w:t>）；恒生国企指数持仓行业主要分布在</w:t>
      </w:r>
      <w:r>
        <w:rPr>
          <w:rFonts w:hint="default" w:ascii="仿宋" w:hAnsi="仿宋" w:eastAsia="仿宋"/>
          <w:b/>
          <w:bCs/>
          <w:sz w:val="26"/>
          <w:szCs w:val="26"/>
          <w:lang w:val="en-US" w:eastAsia="zh-CN"/>
        </w:rPr>
        <w:t>金融（49.75%）、</w:t>
      </w:r>
      <w:r>
        <w:rPr>
          <w:rFonts w:hint="default" w:ascii="仿宋" w:hAnsi="仿宋" w:eastAsia="仿宋"/>
          <w:b/>
          <w:bCs/>
          <w:sz w:val="26"/>
          <w:szCs w:val="26"/>
          <w:lang w:val="en-US" w:eastAsia="zh-CN"/>
        </w:rPr>
        <w:fldChar w:fldCharType="begin"/>
      </w:r>
      <w:r>
        <w:rPr>
          <w:rFonts w:hint="default" w:ascii="仿宋" w:hAnsi="仿宋" w:eastAsia="仿宋"/>
          <w:b/>
          <w:bCs/>
          <w:sz w:val="26"/>
          <w:szCs w:val="26"/>
          <w:lang w:val="en-US" w:eastAsia="zh-CN"/>
        </w:rPr>
        <w:instrText xml:space="preserve"> HYPERLINK "https://xueqiu.com/S/SZ159939?from=status_stock_match" </w:instrText>
      </w:r>
      <w:r>
        <w:rPr>
          <w:rFonts w:hint="default" w:ascii="仿宋" w:hAnsi="仿宋" w:eastAsia="仿宋"/>
          <w:b/>
          <w:bCs/>
          <w:sz w:val="26"/>
          <w:szCs w:val="26"/>
          <w:lang w:val="en-US" w:eastAsia="zh-CN"/>
        </w:rPr>
        <w:fldChar w:fldCharType="separate"/>
      </w:r>
      <w:r>
        <w:rPr>
          <w:rFonts w:hint="default" w:ascii="仿宋" w:hAnsi="仿宋" w:eastAsia="仿宋"/>
          <w:b/>
          <w:bCs/>
          <w:sz w:val="26"/>
          <w:szCs w:val="26"/>
          <w:lang w:val="en-US" w:eastAsia="zh-CN"/>
        </w:rPr>
        <w:t>信息技术</w:t>
      </w:r>
      <w:r>
        <w:rPr>
          <w:rFonts w:hint="default" w:ascii="仿宋" w:hAnsi="仿宋" w:eastAsia="仿宋"/>
          <w:b/>
          <w:bCs/>
          <w:sz w:val="26"/>
          <w:szCs w:val="26"/>
          <w:lang w:val="en-US" w:eastAsia="zh-CN"/>
        </w:rPr>
        <w:fldChar w:fldCharType="end"/>
      </w:r>
      <w:r>
        <w:rPr>
          <w:rFonts w:hint="default" w:ascii="仿宋" w:hAnsi="仿宋" w:eastAsia="仿宋"/>
          <w:b/>
          <w:bCs/>
          <w:sz w:val="26"/>
          <w:szCs w:val="26"/>
          <w:lang w:val="en-US" w:eastAsia="zh-CN"/>
        </w:rPr>
        <w:t>（15.65%）、能源（9.71%）、电信服务（7.93%）、</w:t>
      </w:r>
      <w:r>
        <w:rPr>
          <w:rFonts w:hint="default" w:ascii="仿宋" w:hAnsi="仿宋" w:eastAsia="仿宋"/>
          <w:b/>
          <w:bCs/>
          <w:sz w:val="26"/>
          <w:szCs w:val="26"/>
          <w:lang w:val="en-US" w:eastAsia="zh-CN"/>
        </w:rPr>
        <w:fldChar w:fldCharType="begin"/>
      </w:r>
      <w:r>
        <w:rPr>
          <w:rFonts w:hint="default" w:ascii="仿宋" w:hAnsi="仿宋" w:eastAsia="仿宋"/>
          <w:b/>
          <w:bCs/>
          <w:sz w:val="26"/>
          <w:szCs w:val="26"/>
          <w:lang w:val="en-US" w:eastAsia="zh-CN"/>
        </w:rPr>
        <w:instrText xml:space="preserve"> HYPERLINK "https://xueqiu.com/S/SZ160628?from=status_stock_match" </w:instrText>
      </w:r>
      <w:r>
        <w:rPr>
          <w:rFonts w:hint="default" w:ascii="仿宋" w:hAnsi="仿宋" w:eastAsia="仿宋"/>
          <w:b/>
          <w:bCs/>
          <w:sz w:val="26"/>
          <w:szCs w:val="26"/>
          <w:lang w:val="en-US" w:eastAsia="zh-CN"/>
        </w:rPr>
        <w:fldChar w:fldCharType="separate"/>
      </w:r>
      <w:r>
        <w:rPr>
          <w:rFonts w:hint="default" w:ascii="仿宋" w:hAnsi="仿宋" w:eastAsia="仿宋"/>
          <w:b/>
          <w:bCs/>
          <w:sz w:val="26"/>
          <w:szCs w:val="26"/>
          <w:lang w:val="en-US" w:eastAsia="zh-CN"/>
        </w:rPr>
        <w:t>房地产</w:t>
      </w:r>
      <w:r>
        <w:rPr>
          <w:rFonts w:hint="default" w:ascii="仿宋" w:hAnsi="仿宋" w:eastAsia="仿宋"/>
          <w:b/>
          <w:bCs/>
          <w:sz w:val="26"/>
          <w:szCs w:val="26"/>
          <w:lang w:val="en-US" w:eastAsia="zh-CN"/>
        </w:rPr>
        <w:fldChar w:fldCharType="end"/>
      </w:r>
      <w:r>
        <w:rPr>
          <w:rFonts w:hint="default" w:ascii="仿宋" w:hAnsi="仿宋" w:eastAsia="仿宋"/>
          <w:b/>
          <w:bCs/>
          <w:sz w:val="26"/>
          <w:szCs w:val="26"/>
          <w:lang w:val="en-US" w:eastAsia="zh-CN"/>
        </w:rPr>
        <w:t>（5.72%）</w:t>
      </w:r>
      <w:r>
        <w:rPr>
          <w:rFonts w:hint="eastAsia" w:ascii="仿宋" w:hAnsi="仿宋" w:eastAsia="仿宋"/>
          <w:b/>
          <w:bCs/>
          <w:sz w:val="26"/>
          <w:szCs w:val="26"/>
          <w:lang w:val="en-US" w:eastAsia="zh-CN"/>
        </w:rPr>
        <w:t>。</w:t>
      </w:r>
      <w:r>
        <w:rPr>
          <w:rFonts w:hint="default" w:ascii="Helvetica" w:hAnsi="Helvetica" w:eastAsia="Helvetica" w:cs="Helvetica"/>
          <w:i w:val="0"/>
          <w:caps w:val="0"/>
          <w:color w:val="33353C"/>
          <w:spacing w:val="0"/>
          <w:sz w:val="27"/>
          <w:szCs w:val="27"/>
        </w:rPr>
        <w:br w:type="textWrapping"/>
      </w:r>
      <w:r>
        <w:rPr>
          <w:rFonts w:hint="default" w:ascii="仿宋" w:hAnsi="仿宋" w:eastAsia="仿宋"/>
          <w:b w:val="0"/>
          <w:bCs w:val="0"/>
          <w:sz w:val="26"/>
          <w:szCs w:val="26"/>
          <w:lang w:val="en-US" w:eastAsia="zh-CN"/>
        </w:rPr>
        <w:br w:type="textWrapping"/>
      </w:r>
      <w:r>
        <w:rPr>
          <w:rFonts w:hint="eastAsia" w:ascii="仿宋" w:hAnsi="仿宋" w:eastAsia="仿宋"/>
          <w:b w:val="0"/>
          <w:bCs w:val="0"/>
          <w:sz w:val="26"/>
          <w:szCs w:val="26"/>
          <w:lang w:val="en-US" w:eastAsia="zh-CN"/>
        </w:rPr>
        <w:t>从持仓对比分析，二者重合的持仓股票有腾讯控股，工商银行，建设银行，中国平安，中国移动，中国平安，中国银行，中国石油股份，中国石油化工股份，中国人寿，交通银行，中国海洋石油，中国神华，中信股份，碧桂园和恒安国际。重合度在64.71%，都集中在金融、信息技术、能源等方面。而国企里面多了一些重型基建、建筑材料、汽车等企业，恒生指数里面多了一些蒙牛乳业、长江基建集团、中国联通等乳制品、电力、电讯行业股票。</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center"/>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历史业绩对比</w:t>
      </w:r>
    </w:p>
    <w:p>
      <w:pPr>
        <w:widowControl w:val="0"/>
        <w:numPr>
          <w:ilvl w:val="0"/>
          <w:numId w:val="0"/>
        </w:numPr>
        <w:jc w:val="center"/>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恒生指数过往历史年化符合收益率17%，恒生国企指数过往历史年化复合收益率15%，从历史业绩对比分析，恒生指数优于恒生国企中指数，不过这个历史成绩只能够代表过去，可以预测未来，并不能代表未来。</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因为经过几十年的发展恒生指数和恒生国企指数的持仓股票都有很大的变动，最为重要的是投资不是站在现在看过去，而是站在现在看未来。</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比较典型的两个例子，2015年牛市表现好的环保，现在一直低迷不断，还有很多投资人站在2018年看过往标普红利指数的增长率都是非常好，然而最近两年标普红利一直极度低迷。所以，过去的业绩并不能够完全代表未来。</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就比如现在很多公司从清华大学招人，这些同学在过往20年的表现很好，他们未来进入社会继续创造更多价值的概率也更大，然而并不一定代表他们中所有人都一定会发展很好。这个逻辑得搞清楚了。</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center"/>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成分股业绩对比</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通过对恒生国企和恒生指数未重合股票，以海螺水泥、融创中国、招商银行、万科为首的恒生国企业绩优于以香港交易所、友邦、汇丰、恒生银行的业绩，这是需要重点考虑的，良好的业绩增速才会给企业产生更多的利润和现金流。</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center"/>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估值对比</w:t>
      </w:r>
    </w:p>
    <w:p>
      <w:pPr>
        <w:widowControl w:val="0"/>
        <w:numPr>
          <w:ilvl w:val="0"/>
          <w:numId w:val="0"/>
        </w:numPr>
        <w:jc w:val="left"/>
        <w:rPr>
          <w:rFonts w:hint="default"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从历史市盈率百分位对比分析，当前恒生指数的历史市盈率百分位低于恒生国企指数，显示恒生指数更加低估，而相对估值没有考虑未来指数的成长，所以只能作为初步参考。</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从PEG估值角度对比分析，恒生国企指数当前的PEG比恒生指数的PEG更低，显示恒生国企指数更加低估。</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从绝对估值巴菲特自由现金流折现思想对比分析，目前恒生国企指数的估值也更低于恒生指数。</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center"/>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结论</w:t>
      </w:r>
    </w:p>
    <w:p>
      <w:pPr>
        <w:widowControl w:val="0"/>
        <w:numPr>
          <w:ilvl w:val="0"/>
          <w:numId w:val="0"/>
        </w:numPr>
        <w:jc w:val="center"/>
        <w:rPr>
          <w:rFonts w:hint="eastAsia" w:ascii="仿宋" w:hAnsi="仿宋" w:eastAsia="仿宋"/>
          <w:b/>
          <w:bCs/>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恒生国企指数和恒生指数都是优质的港股大盘股指数，近年来受到各种因素影响成长性略有下降，且港股一般发生股灾回撤会非常大，所以港股指数最好</w:t>
      </w:r>
      <w:bookmarkStart w:id="0" w:name="_GoBack"/>
      <w:bookmarkEnd w:id="0"/>
      <w:r>
        <w:rPr>
          <w:rFonts w:hint="eastAsia" w:ascii="仿宋" w:hAnsi="仿宋" w:eastAsia="仿宋"/>
          <w:b w:val="0"/>
          <w:bCs w:val="0"/>
          <w:sz w:val="26"/>
          <w:szCs w:val="26"/>
          <w:lang w:val="en-US" w:eastAsia="zh-CN"/>
        </w:rPr>
        <w:t>作为卫星配置。</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二师父观点向来鲜明，好就好，坏就坏。从当前业绩增长以及未来大陆和香港的发展趋势对比，很显然以注册地在大陆的股票为持仓的H股指数更有价值，投资者需要克服恐慌情绪，可以开始定投。</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对于恒生指数，可以作为第二梯队的替代指数。</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default" w:ascii="仿宋" w:hAnsi="仿宋" w:eastAsia="仿宋"/>
          <w:b/>
          <w:bCs/>
          <w:sz w:val="26"/>
          <w:szCs w:val="26"/>
          <w:lang w:val="en-US" w:eastAsia="zh-CN"/>
        </w:rPr>
      </w:pPr>
      <w:r>
        <w:rPr>
          <w:rFonts w:hint="eastAsia" w:ascii="仿宋" w:hAnsi="仿宋" w:eastAsia="仿宋"/>
          <w:b/>
          <w:bCs/>
          <w:sz w:val="26"/>
          <w:szCs w:val="26"/>
          <w:lang w:val="en-US" w:eastAsia="zh-CN"/>
        </w:rPr>
        <w:t>如果恒生指数市盈率低于9倍，从相对估值角度来看恒生指数进入极度低估区域，因为二者持仓股票重合度较高，也可以用恒生指数替代恒生国企，买的好也很重要。</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1DF5FBF"/>
    <w:rsid w:val="02C26C89"/>
    <w:rsid w:val="0351604A"/>
    <w:rsid w:val="05416107"/>
    <w:rsid w:val="054B090C"/>
    <w:rsid w:val="056A0B0F"/>
    <w:rsid w:val="058030D1"/>
    <w:rsid w:val="068854FD"/>
    <w:rsid w:val="071D0A33"/>
    <w:rsid w:val="07FF262B"/>
    <w:rsid w:val="09CC08E3"/>
    <w:rsid w:val="0A341C9F"/>
    <w:rsid w:val="0A5848E3"/>
    <w:rsid w:val="0A5D03AB"/>
    <w:rsid w:val="0A6C551C"/>
    <w:rsid w:val="0B6328AF"/>
    <w:rsid w:val="0CBF52FE"/>
    <w:rsid w:val="0CF85BB4"/>
    <w:rsid w:val="0D46243F"/>
    <w:rsid w:val="0E156980"/>
    <w:rsid w:val="0E512ED5"/>
    <w:rsid w:val="0F972F6F"/>
    <w:rsid w:val="116E4FB7"/>
    <w:rsid w:val="11900AD7"/>
    <w:rsid w:val="13503064"/>
    <w:rsid w:val="135E5207"/>
    <w:rsid w:val="13735F01"/>
    <w:rsid w:val="1445349B"/>
    <w:rsid w:val="15F248A7"/>
    <w:rsid w:val="172A5D87"/>
    <w:rsid w:val="17724947"/>
    <w:rsid w:val="180009E7"/>
    <w:rsid w:val="18703140"/>
    <w:rsid w:val="18787C52"/>
    <w:rsid w:val="1A1F7F18"/>
    <w:rsid w:val="1A480AE6"/>
    <w:rsid w:val="1B0E684D"/>
    <w:rsid w:val="1C3E0032"/>
    <w:rsid w:val="1C6407D4"/>
    <w:rsid w:val="1C902976"/>
    <w:rsid w:val="1FBB128C"/>
    <w:rsid w:val="201F10E6"/>
    <w:rsid w:val="240E562D"/>
    <w:rsid w:val="24686266"/>
    <w:rsid w:val="24BE564F"/>
    <w:rsid w:val="25C03879"/>
    <w:rsid w:val="26040693"/>
    <w:rsid w:val="26160C58"/>
    <w:rsid w:val="270A1DD0"/>
    <w:rsid w:val="27AD6B16"/>
    <w:rsid w:val="27B50ACC"/>
    <w:rsid w:val="2B3A38E0"/>
    <w:rsid w:val="2B8110C1"/>
    <w:rsid w:val="2CA43C95"/>
    <w:rsid w:val="2D0048C2"/>
    <w:rsid w:val="2D1E0535"/>
    <w:rsid w:val="2DD711CC"/>
    <w:rsid w:val="2E117557"/>
    <w:rsid w:val="2EC274E7"/>
    <w:rsid w:val="2FCB6351"/>
    <w:rsid w:val="309C73BE"/>
    <w:rsid w:val="310B5A40"/>
    <w:rsid w:val="32F40E0F"/>
    <w:rsid w:val="33CF14F3"/>
    <w:rsid w:val="342C1F18"/>
    <w:rsid w:val="34446DA2"/>
    <w:rsid w:val="345D023C"/>
    <w:rsid w:val="34ED03A9"/>
    <w:rsid w:val="35867DFB"/>
    <w:rsid w:val="35E36959"/>
    <w:rsid w:val="36274243"/>
    <w:rsid w:val="397B4252"/>
    <w:rsid w:val="39BF2DFA"/>
    <w:rsid w:val="3A1C172F"/>
    <w:rsid w:val="3AE70FE0"/>
    <w:rsid w:val="3BCE5B46"/>
    <w:rsid w:val="3BE7476F"/>
    <w:rsid w:val="3C606E84"/>
    <w:rsid w:val="3CDD60D7"/>
    <w:rsid w:val="3D034A46"/>
    <w:rsid w:val="3D602544"/>
    <w:rsid w:val="3DB90E1A"/>
    <w:rsid w:val="3E521E82"/>
    <w:rsid w:val="3F3257DF"/>
    <w:rsid w:val="4103501F"/>
    <w:rsid w:val="453C6975"/>
    <w:rsid w:val="45582111"/>
    <w:rsid w:val="46231B8B"/>
    <w:rsid w:val="46BD3A17"/>
    <w:rsid w:val="46E13DEF"/>
    <w:rsid w:val="4758464A"/>
    <w:rsid w:val="47934A85"/>
    <w:rsid w:val="487557B8"/>
    <w:rsid w:val="497F16D1"/>
    <w:rsid w:val="4A8E3D14"/>
    <w:rsid w:val="4AB660FA"/>
    <w:rsid w:val="4B8719CB"/>
    <w:rsid w:val="4B8B20EF"/>
    <w:rsid w:val="4C2C1055"/>
    <w:rsid w:val="4D1E6F6B"/>
    <w:rsid w:val="4D3D0CC9"/>
    <w:rsid w:val="4D96693C"/>
    <w:rsid w:val="4F5E16C6"/>
    <w:rsid w:val="4FC172B4"/>
    <w:rsid w:val="504B330F"/>
    <w:rsid w:val="5185222A"/>
    <w:rsid w:val="52285117"/>
    <w:rsid w:val="525820D3"/>
    <w:rsid w:val="533D431D"/>
    <w:rsid w:val="534B456C"/>
    <w:rsid w:val="537E201C"/>
    <w:rsid w:val="546875F0"/>
    <w:rsid w:val="54A67803"/>
    <w:rsid w:val="54F30284"/>
    <w:rsid w:val="568D6FE0"/>
    <w:rsid w:val="57300CD3"/>
    <w:rsid w:val="57376E35"/>
    <w:rsid w:val="57630DC6"/>
    <w:rsid w:val="576F3008"/>
    <w:rsid w:val="5803453F"/>
    <w:rsid w:val="580A39C0"/>
    <w:rsid w:val="5A4F2987"/>
    <w:rsid w:val="5A587379"/>
    <w:rsid w:val="5AA302A6"/>
    <w:rsid w:val="5B4659F0"/>
    <w:rsid w:val="5C1F7B63"/>
    <w:rsid w:val="5ED72EC7"/>
    <w:rsid w:val="5EDE07E5"/>
    <w:rsid w:val="5FA16DBC"/>
    <w:rsid w:val="5FF05621"/>
    <w:rsid w:val="61007F16"/>
    <w:rsid w:val="613A1299"/>
    <w:rsid w:val="618C587F"/>
    <w:rsid w:val="61FD74A4"/>
    <w:rsid w:val="62162861"/>
    <w:rsid w:val="62631346"/>
    <w:rsid w:val="62C64723"/>
    <w:rsid w:val="63BB75F4"/>
    <w:rsid w:val="63D70D05"/>
    <w:rsid w:val="64497409"/>
    <w:rsid w:val="655C738A"/>
    <w:rsid w:val="665F12E2"/>
    <w:rsid w:val="666639DC"/>
    <w:rsid w:val="66692401"/>
    <w:rsid w:val="666A592B"/>
    <w:rsid w:val="679B6B79"/>
    <w:rsid w:val="68006029"/>
    <w:rsid w:val="68DA7061"/>
    <w:rsid w:val="69706123"/>
    <w:rsid w:val="6AEB4080"/>
    <w:rsid w:val="6BB81A38"/>
    <w:rsid w:val="6BBF576B"/>
    <w:rsid w:val="6C9F088A"/>
    <w:rsid w:val="6CCE3CD4"/>
    <w:rsid w:val="70177396"/>
    <w:rsid w:val="7169075D"/>
    <w:rsid w:val="71E666B0"/>
    <w:rsid w:val="71F24C2F"/>
    <w:rsid w:val="73306F2B"/>
    <w:rsid w:val="73A10864"/>
    <w:rsid w:val="741036DE"/>
    <w:rsid w:val="754D15E1"/>
    <w:rsid w:val="75512B13"/>
    <w:rsid w:val="77A37E0F"/>
    <w:rsid w:val="79174E4E"/>
    <w:rsid w:val="79E4201C"/>
    <w:rsid w:val="7A1A22E4"/>
    <w:rsid w:val="7A78757D"/>
    <w:rsid w:val="7A791F94"/>
    <w:rsid w:val="7AA32AF2"/>
    <w:rsid w:val="7AD6317E"/>
    <w:rsid w:val="7B46360C"/>
    <w:rsid w:val="7B6F5C81"/>
    <w:rsid w:val="7CCC7E8D"/>
    <w:rsid w:val="7CE936D5"/>
    <w:rsid w:val="7D7737C9"/>
    <w:rsid w:val="7E0D0216"/>
    <w:rsid w:val="7E143640"/>
    <w:rsid w:val="7EF54E79"/>
    <w:rsid w:val="7EF65555"/>
    <w:rsid w:val="7F310EC4"/>
    <w:rsid w:val="7F512E59"/>
    <w:rsid w:val="7FA257ED"/>
    <w:rsid w:val="7FAB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21</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2020-03-15T09:17:22Z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