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2"/>
          <w:szCs w:val="32"/>
          <w:lang w:val="en-US" w:eastAsia="zh-CN"/>
        </w:rPr>
      </w:pPr>
      <w:r>
        <w:rPr>
          <w:rFonts w:hint="eastAsia" w:ascii="仿宋" w:hAnsi="仿宋" w:eastAsia="仿宋"/>
          <w:b/>
          <w:sz w:val="32"/>
          <w:szCs w:val="32"/>
          <w:lang w:val="en-US" w:eastAsia="zh-CN"/>
        </w:rPr>
        <w:t>券商和300非银哪个更好</w:t>
      </w:r>
    </w:p>
    <w:p>
      <w:pPr>
        <w:jc w:val="left"/>
        <w:rPr>
          <w:rFonts w:hint="eastAsia" w:ascii="仿宋" w:hAnsi="仿宋" w:eastAsia="仿宋"/>
          <w:b w:val="0"/>
          <w:bCs w:val="0"/>
          <w:sz w:val="24"/>
          <w:szCs w:val="24"/>
          <w:lang w:val="en-US" w:eastAsia="zh-CN"/>
        </w:rPr>
      </w:pPr>
      <w:bookmarkStart w:id="0" w:name="OLE_LINK2"/>
    </w:p>
    <w:p>
      <w:pPr>
        <w:jc w:val="left"/>
        <w:rPr>
          <w:rFonts w:hint="default" w:ascii="仿宋" w:hAnsi="仿宋" w:eastAsia="仿宋"/>
          <w:b/>
          <w:bCs/>
          <w:sz w:val="24"/>
          <w:szCs w:val="24"/>
          <w:lang w:val="en-US" w:eastAsia="zh-CN"/>
        </w:rPr>
      </w:pPr>
      <w:bookmarkStart w:id="1" w:name="OLE_LINK3"/>
      <w:r>
        <w:rPr>
          <w:rFonts w:hint="eastAsia" w:ascii="仿宋" w:hAnsi="仿宋" w:eastAsia="仿宋"/>
          <w:b/>
          <w:bCs/>
          <w:sz w:val="24"/>
          <w:szCs w:val="24"/>
          <w:lang w:val="en-US" w:eastAsia="zh-CN"/>
        </w:rPr>
        <w:t>昨天分析了300非银指数的投资价值，这个指数里面部分持有保险股票，部分持有券商股票，那么300非银和全部持有券商股票的券商指数哪个更好呢？</w:t>
      </w:r>
    </w:p>
    <w:p>
      <w:pPr>
        <w:jc w:val="left"/>
        <w:rPr>
          <w:rFonts w:hint="default" w:ascii="仿宋" w:hAnsi="仿宋" w:eastAsia="仿宋"/>
          <w:b w:val="0"/>
          <w:bCs w:val="0"/>
          <w:sz w:val="24"/>
          <w:szCs w:val="24"/>
          <w:lang w:val="en-US" w:eastAsia="zh-CN"/>
        </w:rPr>
      </w:pPr>
    </w:p>
    <w:p>
      <w:pPr>
        <w:jc w:val="center"/>
        <w:rPr>
          <w:rFonts w:hint="default" w:ascii="仿宋" w:hAnsi="仿宋" w:eastAsia="仿宋"/>
          <w:b/>
          <w:bCs/>
          <w:color w:val="0000FF"/>
          <w:sz w:val="36"/>
          <w:szCs w:val="36"/>
          <w:lang w:val="en-US" w:eastAsia="zh-CN"/>
        </w:rPr>
      </w:pPr>
      <w:r>
        <w:rPr>
          <w:rFonts w:hint="eastAsia" w:ascii="仿宋" w:hAnsi="仿宋" w:eastAsia="仿宋"/>
          <w:b/>
          <w:bCs/>
          <w:color w:val="0000FF"/>
          <w:sz w:val="36"/>
          <w:szCs w:val="36"/>
          <w:lang w:val="en-US" w:eastAsia="zh-CN"/>
        </w:rPr>
        <w:t>1、券商指数的持仓股票</w:t>
      </w:r>
    </w:p>
    <w:p>
      <w:pPr>
        <w:widowControl w:val="0"/>
        <w:numPr>
          <w:ilvl w:val="0"/>
          <w:numId w:val="0"/>
        </w:numPr>
        <w:tabs>
          <w:tab w:val="left" w:pos="5040"/>
        </w:tabs>
        <w:jc w:val="center"/>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券商指数就是中证全指证券公司指数，这个指数从中证全指样本股中选取证券公司行业股票组成。</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center"/>
        <w:rPr>
          <w:rFonts w:hint="eastAsia" w:ascii="仿宋" w:hAnsi="仿宋" w:eastAsia="仿宋"/>
          <w:b w:val="0"/>
          <w:bCs/>
          <w:sz w:val="24"/>
          <w:szCs w:val="24"/>
          <w:lang w:val="en-US" w:eastAsia="zh-CN"/>
        </w:rPr>
      </w:pPr>
      <w:r>
        <w:drawing>
          <wp:inline distT="0" distB="0" distL="114300" distR="114300">
            <wp:extent cx="4251960" cy="268986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251960" cy="2689860"/>
                    </a:xfrm>
                    <a:prstGeom prst="rect">
                      <a:avLst/>
                    </a:prstGeom>
                    <a:noFill/>
                    <a:ln>
                      <a:noFill/>
                    </a:ln>
                  </pic:spPr>
                </pic:pic>
              </a:graphicData>
            </a:graphic>
          </wp:inline>
        </w:drawing>
      </w: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里面都是类似中信证券、海通证券、华泰证券这种券商类股票。券商公司的收入来源证券经纪、资管、投研。这个行业的营收特性决定了市场牛熊将会影响他的业绩，当然也影响他的股价走势。</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jc w:val="center"/>
        <w:rPr>
          <w:rFonts w:hint="default" w:ascii="仿宋" w:hAnsi="仿宋" w:eastAsia="仿宋"/>
          <w:b w:val="0"/>
          <w:bCs/>
          <w:sz w:val="24"/>
          <w:szCs w:val="24"/>
          <w:lang w:val="en-US" w:eastAsia="zh-CN"/>
        </w:rPr>
      </w:pPr>
      <w:r>
        <w:rPr>
          <w:rFonts w:hint="eastAsia" w:ascii="仿宋" w:hAnsi="仿宋" w:eastAsia="仿宋"/>
          <w:b/>
          <w:bCs/>
          <w:color w:val="0000FF"/>
          <w:sz w:val="36"/>
          <w:szCs w:val="36"/>
          <w:lang w:val="en-US" w:eastAsia="zh-CN"/>
        </w:rPr>
        <w:t>2、券商投资价值和300非银对比</w:t>
      </w:r>
    </w:p>
    <w:p>
      <w:pPr>
        <w:widowControl w:val="0"/>
        <w:numPr>
          <w:ilvl w:val="0"/>
          <w:numId w:val="0"/>
        </w:numPr>
        <w:tabs>
          <w:tab w:val="left" w:pos="5040"/>
        </w:tabs>
        <w:jc w:val="both"/>
        <w:rPr>
          <w:rFonts w:hint="default"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每次牛市前夕，股票成交量肯定会起来，那么券商经纪业务就会激增，新增开户数成倍数增长，而行情到来的时候，资管和投研需求也会增加。这是正面循环。</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总之，牛市起步的时候，券商领涨。</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那是不是长期持有券商股票到牛市就可以了呢？也不是，因为券商周期性非常大，可能几年不涨。如下图，如果15年买入券商股票没有止损的话现在亏的很惨。</w:t>
      </w:r>
    </w:p>
    <w:p>
      <w:pPr>
        <w:widowControl w:val="0"/>
        <w:numPr>
          <w:ilvl w:val="0"/>
          <w:numId w:val="0"/>
        </w:numPr>
        <w:tabs>
          <w:tab w:val="left" w:pos="5040"/>
        </w:tabs>
        <w:jc w:val="both"/>
        <w:rPr>
          <w:rFonts w:hint="default" w:ascii="仿宋" w:hAnsi="仿宋" w:eastAsia="仿宋"/>
          <w:b w:val="0"/>
          <w:bCs/>
          <w:sz w:val="24"/>
          <w:szCs w:val="24"/>
          <w:lang w:val="en-US" w:eastAsia="zh-CN"/>
        </w:rPr>
      </w:pPr>
    </w:p>
    <w:p>
      <w:pPr>
        <w:widowControl w:val="0"/>
        <w:numPr>
          <w:ilvl w:val="0"/>
          <w:numId w:val="0"/>
        </w:numPr>
        <w:tabs>
          <w:tab w:val="left" w:pos="5040"/>
        </w:tabs>
        <w:jc w:val="center"/>
        <w:rPr>
          <w:rFonts w:hint="default" w:ascii="仿宋" w:hAnsi="仿宋" w:eastAsia="仿宋"/>
          <w:b w:val="0"/>
          <w:bCs/>
          <w:sz w:val="24"/>
          <w:szCs w:val="24"/>
          <w:lang w:val="en-US" w:eastAsia="zh-CN"/>
        </w:rPr>
      </w:pPr>
      <w:r>
        <w:drawing>
          <wp:inline distT="0" distB="0" distL="114300" distR="114300">
            <wp:extent cx="4267200" cy="2613025"/>
            <wp:effectExtent l="0" t="0" r="0"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267200" cy="2613025"/>
                    </a:xfrm>
                    <a:prstGeom prst="rect">
                      <a:avLst/>
                    </a:prstGeom>
                    <a:noFill/>
                    <a:ln>
                      <a:noFill/>
                    </a:ln>
                  </pic:spPr>
                </pic:pic>
              </a:graphicData>
            </a:graphic>
          </wp:inline>
        </w:drawing>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既然如此，为什么要投资这种指数呢？</w:t>
      </w:r>
    </w:p>
    <w:p>
      <w:pPr>
        <w:widowControl w:val="0"/>
        <w:numPr>
          <w:ilvl w:val="0"/>
          <w:numId w:val="0"/>
        </w:numPr>
        <w:tabs>
          <w:tab w:val="left" w:pos="5040"/>
        </w:tabs>
        <w:jc w:val="both"/>
        <w:rPr>
          <w:rFonts w:hint="eastAsia"/>
          <w:lang w:val="en-US" w:eastAsia="zh-CN"/>
        </w:rPr>
      </w:pPr>
    </w:p>
    <w:p>
      <w:pPr>
        <w:widowControl w:val="0"/>
        <w:numPr>
          <w:ilvl w:val="0"/>
          <w:numId w:val="0"/>
        </w:numPr>
        <w:tabs>
          <w:tab w:val="left" w:pos="5040"/>
        </w:tabs>
        <w:jc w:val="center"/>
        <w:rPr>
          <w:rFonts w:hint="eastAsia"/>
          <w:lang w:val="en-US" w:eastAsia="zh-CN"/>
        </w:rPr>
      </w:pPr>
      <w:r>
        <w:drawing>
          <wp:inline distT="0" distB="0" distL="114300" distR="114300">
            <wp:extent cx="4251960" cy="275844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4251960" cy="2758440"/>
                    </a:xfrm>
                    <a:prstGeom prst="rect">
                      <a:avLst/>
                    </a:prstGeom>
                    <a:noFill/>
                    <a:ln>
                      <a:noFill/>
                    </a:ln>
                  </pic:spPr>
                </pic:pic>
              </a:graphicData>
            </a:graphic>
          </wp:inline>
        </w:drawing>
      </w:r>
    </w:p>
    <w:p>
      <w:pPr>
        <w:widowControl w:val="0"/>
        <w:numPr>
          <w:ilvl w:val="0"/>
          <w:numId w:val="0"/>
        </w:numPr>
        <w:tabs>
          <w:tab w:val="left" w:pos="5040"/>
        </w:tabs>
        <w:jc w:val="center"/>
        <w:rPr>
          <w:rFonts w:hint="default"/>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投资可以持有优质股权复利增值，也可以利用股市震荡波段获利。</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A股市场一般5年左右的熊市，漫漫熊途耐心坚守对于巴菲特这种现金流源源不断的投资者轻而易举，反正有钱就买，而对于普通投资者似乎并不现实，所以还是需要投资性买入，投机性卖出。</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这就是网格操作的核心，少部分资金利用市场震荡获利。除了投机，券商没有其他的价值。</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对比历史总体收益率300非银优于券商，如果中长期投资，300非银更好。</w:t>
      </w:r>
    </w:p>
    <w:p>
      <w:pPr>
        <w:widowControl w:val="0"/>
        <w:numPr>
          <w:ilvl w:val="0"/>
          <w:numId w:val="0"/>
        </w:numPr>
        <w:tabs>
          <w:tab w:val="left" w:pos="5040"/>
        </w:tabs>
        <w:jc w:val="left"/>
        <w:rPr>
          <w:rFonts w:hint="default"/>
          <w:lang w:val="en-US" w:eastAsia="zh-CN"/>
        </w:rPr>
      </w:pPr>
    </w:p>
    <w:p>
      <w:pPr>
        <w:jc w:val="center"/>
        <w:rPr>
          <w:rFonts w:hint="default" w:ascii="仿宋" w:hAnsi="仿宋" w:eastAsia="仿宋"/>
          <w:b/>
          <w:bCs/>
          <w:color w:val="0000FF"/>
          <w:sz w:val="36"/>
          <w:szCs w:val="36"/>
          <w:lang w:val="en-US" w:eastAsia="zh-CN"/>
        </w:rPr>
      </w:pPr>
      <w:r>
        <w:rPr>
          <w:rFonts w:hint="eastAsia" w:ascii="仿宋" w:hAnsi="仿宋" w:eastAsia="仿宋"/>
          <w:b/>
          <w:bCs/>
          <w:color w:val="0000FF"/>
          <w:sz w:val="36"/>
          <w:szCs w:val="36"/>
          <w:lang w:val="en-US" w:eastAsia="zh-CN"/>
        </w:rPr>
        <w:t>3、当前投资券商需要注意的问题</w:t>
      </w:r>
    </w:p>
    <w:p>
      <w:pPr>
        <w:widowControl w:val="0"/>
        <w:numPr>
          <w:ilvl w:val="0"/>
          <w:numId w:val="0"/>
        </w:numPr>
        <w:tabs>
          <w:tab w:val="left" w:pos="5040"/>
        </w:tabs>
        <w:ind w:leftChars="0"/>
        <w:jc w:val="both"/>
        <w:rPr>
          <w:rFonts w:hint="eastAsia" w:ascii="仿宋" w:hAnsi="仿宋" w:eastAsia="仿宋"/>
          <w:b w:val="0"/>
          <w:bCs/>
          <w:sz w:val="24"/>
          <w:szCs w:val="24"/>
          <w:lang w:val="en-US" w:eastAsia="zh-CN"/>
        </w:rPr>
      </w:pPr>
    </w:p>
    <w:bookmarkEnd w:id="0"/>
    <w:bookmarkEnd w:id="1"/>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当前券商短期处于升势，长期趋势仍旧向下，所以轻仓定投可以，一次建立大的头寸不适合。</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不要总觉得券商涨起来利润多，如果下跌起来也是非常厉害的。</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券商指数目前最大的历史下跌幅度是44%，所以逆势定投最好控制节奏。选择做趋势的话，</w:t>
      </w:r>
      <w:bookmarkStart w:id="2" w:name="_GoBack"/>
      <w:bookmarkEnd w:id="2"/>
      <w:r>
        <w:rPr>
          <w:rFonts w:hint="eastAsia" w:ascii="仿宋" w:hAnsi="仿宋" w:eastAsia="仿宋"/>
          <w:b/>
          <w:bCs w:val="0"/>
          <w:sz w:val="24"/>
          <w:szCs w:val="24"/>
          <w:lang w:val="en-US" w:eastAsia="zh-CN"/>
        </w:rPr>
        <w:t>在升势并未确立之前就不要碰运气了。</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最后提醒一下：企业的复利主要还是来源于稳定的业绩和红利，而券商看行情吃饭，只有投机价值，没有投资价值，更倾向于中长期投资的朋友可以选择300非银。</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default" w:ascii="仿宋" w:hAnsi="仿宋" w:eastAsia="仿宋"/>
          <w:b w:val="0"/>
          <w:bCs/>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lang w:val="en-US" w:eastAsia="zh-CN"/>
      </w:rPr>
      <w:t xml:space="preserve">                                                             </w:t>
    </w:r>
    <w:r>
      <w:rPr>
        <w:rFonts w:hint="eastAsia"/>
      </w:rPr>
      <w:t>：二师父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7258"/>
    <w:rsid w:val="0004346B"/>
    <w:rsid w:val="00051959"/>
    <w:rsid w:val="00060B5D"/>
    <w:rsid w:val="00075B48"/>
    <w:rsid w:val="000865A0"/>
    <w:rsid w:val="000937C0"/>
    <w:rsid w:val="000968C0"/>
    <w:rsid w:val="000A5D2C"/>
    <w:rsid w:val="000A5EAE"/>
    <w:rsid w:val="000C019D"/>
    <w:rsid w:val="000E6B1A"/>
    <w:rsid w:val="000F66C8"/>
    <w:rsid w:val="00102845"/>
    <w:rsid w:val="00102F6E"/>
    <w:rsid w:val="0011715A"/>
    <w:rsid w:val="00117E51"/>
    <w:rsid w:val="00120CEB"/>
    <w:rsid w:val="00126250"/>
    <w:rsid w:val="001650C1"/>
    <w:rsid w:val="001871E2"/>
    <w:rsid w:val="001955FC"/>
    <w:rsid w:val="001A7D4F"/>
    <w:rsid w:val="001C3E78"/>
    <w:rsid w:val="001D7A1C"/>
    <w:rsid w:val="00210DFE"/>
    <w:rsid w:val="00217194"/>
    <w:rsid w:val="0023617A"/>
    <w:rsid w:val="002423D6"/>
    <w:rsid w:val="002547FD"/>
    <w:rsid w:val="002B00A6"/>
    <w:rsid w:val="002B6C41"/>
    <w:rsid w:val="002E1A6E"/>
    <w:rsid w:val="002F7491"/>
    <w:rsid w:val="00320BD9"/>
    <w:rsid w:val="003336CA"/>
    <w:rsid w:val="00341EFA"/>
    <w:rsid w:val="00352957"/>
    <w:rsid w:val="00361117"/>
    <w:rsid w:val="00362EE8"/>
    <w:rsid w:val="0037524C"/>
    <w:rsid w:val="003956A8"/>
    <w:rsid w:val="003B2E0B"/>
    <w:rsid w:val="003C2A0C"/>
    <w:rsid w:val="003D2270"/>
    <w:rsid w:val="003D2627"/>
    <w:rsid w:val="003F6909"/>
    <w:rsid w:val="004227BD"/>
    <w:rsid w:val="00431128"/>
    <w:rsid w:val="00433F8B"/>
    <w:rsid w:val="00434D80"/>
    <w:rsid w:val="00440E90"/>
    <w:rsid w:val="00455154"/>
    <w:rsid w:val="00463680"/>
    <w:rsid w:val="00485C28"/>
    <w:rsid w:val="004A68D1"/>
    <w:rsid w:val="004B150F"/>
    <w:rsid w:val="004B7D02"/>
    <w:rsid w:val="004C3454"/>
    <w:rsid w:val="004C5A9E"/>
    <w:rsid w:val="004F1692"/>
    <w:rsid w:val="004F42A0"/>
    <w:rsid w:val="00502C5B"/>
    <w:rsid w:val="00512F90"/>
    <w:rsid w:val="00516811"/>
    <w:rsid w:val="00531AFF"/>
    <w:rsid w:val="00547951"/>
    <w:rsid w:val="0055224A"/>
    <w:rsid w:val="00555BB0"/>
    <w:rsid w:val="00557235"/>
    <w:rsid w:val="00565873"/>
    <w:rsid w:val="00570A18"/>
    <w:rsid w:val="0059693C"/>
    <w:rsid w:val="005C331C"/>
    <w:rsid w:val="005D6B88"/>
    <w:rsid w:val="005F4A87"/>
    <w:rsid w:val="006067C2"/>
    <w:rsid w:val="00627E37"/>
    <w:rsid w:val="00637F0B"/>
    <w:rsid w:val="006402AA"/>
    <w:rsid w:val="006541F0"/>
    <w:rsid w:val="006555BA"/>
    <w:rsid w:val="00663419"/>
    <w:rsid w:val="006977E4"/>
    <w:rsid w:val="006B59C6"/>
    <w:rsid w:val="006C733A"/>
    <w:rsid w:val="006F1205"/>
    <w:rsid w:val="007358E2"/>
    <w:rsid w:val="00744711"/>
    <w:rsid w:val="0076299F"/>
    <w:rsid w:val="00767C77"/>
    <w:rsid w:val="00790D27"/>
    <w:rsid w:val="007A618E"/>
    <w:rsid w:val="007B33FA"/>
    <w:rsid w:val="007E1218"/>
    <w:rsid w:val="007E6661"/>
    <w:rsid w:val="007F3C39"/>
    <w:rsid w:val="0083747D"/>
    <w:rsid w:val="0083755D"/>
    <w:rsid w:val="00840A40"/>
    <w:rsid w:val="00840A4C"/>
    <w:rsid w:val="00863265"/>
    <w:rsid w:val="00871A34"/>
    <w:rsid w:val="0087421E"/>
    <w:rsid w:val="008748E4"/>
    <w:rsid w:val="008945B4"/>
    <w:rsid w:val="00896A13"/>
    <w:rsid w:val="008A6F13"/>
    <w:rsid w:val="008C50AD"/>
    <w:rsid w:val="008E2145"/>
    <w:rsid w:val="008E7897"/>
    <w:rsid w:val="008F13E5"/>
    <w:rsid w:val="008F5F3F"/>
    <w:rsid w:val="008F7AD7"/>
    <w:rsid w:val="009023F4"/>
    <w:rsid w:val="00905A0D"/>
    <w:rsid w:val="00907532"/>
    <w:rsid w:val="00926C9F"/>
    <w:rsid w:val="00944ED8"/>
    <w:rsid w:val="00954263"/>
    <w:rsid w:val="00963E62"/>
    <w:rsid w:val="00965357"/>
    <w:rsid w:val="00974768"/>
    <w:rsid w:val="00977AA0"/>
    <w:rsid w:val="00996E12"/>
    <w:rsid w:val="009A4572"/>
    <w:rsid w:val="009B1912"/>
    <w:rsid w:val="009B1A9B"/>
    <w:rsid w:val="009D30DD"/>
    <w:rsid w:val="009E1556"/>
    <w:rsid w:val="00A33F44"/>
    <w:rsid w:val="00A35CD8"/>
    <w:rsid w:val="00A4326E"/>
    <w:rsid w:val="00A46416"/>
    <w:rsid w:val="00A86FA6"/>
    <w:rsid w:val="00A90171"/>
    <w:rsid w:val="00AD52A1"/>
    <w:rsid w:val="00B012EF"/>
    <w:rsid w:val="00B37C1B"/>
    <w:rsid w:val="00B6358B"/>
    <w:rsid w:val="00B64C01"/>
    <w:rsid w:val="00B86B51"/>
    <w:rsid w:val="00BB0A0C"/>
    <w:rsid w:val="00BC3194"/>
    <w:rsid w:val="00BD4DEB"/>
    <w:rsid w:val="00BE75D4"/>
    <w:rsid w:val="00BF2A5E"/>
    <w:rsid w:val="00C62AFF"/>
    <w:rsid w:val="00CA499A"/>
    <w:rsid w:val="00CA5E7A"/>
    <w:rsid w:val="00CE449B"/>
    <w:rsid w:val="00CF334E"/>
    <w:rsid w:val="00D054F0"/>
    <w:rsid w:val="00D10E87"/>
    <w:rsid w:val="00D21A8E"/>
    <w:rsid w:val="00D35962"/>
    <w:rsid w:val="00D35C53"/>
    <w:rsid w:val="00D80913"/>
    <w:rsid w:val="00D929D5"/>
    <w:rsid w:val="00D96066"/>
    <w:rsid w:val="00DB58F7"/>
    <w:rsid w:val="00DC2D3F"/>
    <w:rsid w:val="00DC61E2"/>
    <w:rsid w:val="00DD7D01"/>
    <w:rsid w:val="00DE1B88"/>
    <w:rsid w:val="00DF0853"/>
    <w:rsid w:val="00DF585B"/>
    <w:rsid w:val="00E162B7"/>
    <w:rsid w:val="00E66CBC"/>
    <w:rsid w:val="00E84CB1"/>
    <w:rsid w:val="00E86F49"/>
    <w:rsid w:val="00E90F16"/>
    <w:rsid w:val="00E91E90"/>
    <w:rsid w:val="00F17482"/>
    <w:rsid w:val="00F23C43"/>
    <w:rsid w:val="00F327AB"/>
    <w:rsid w:val="00F70E5D"/>
    <w:rsid w:val="00F75595"/>
    <w:rsid w:val="00F83764"/>
    <w:rsid w:val="00F859F1"/>
    <w:rsid w:val="00F87BCB"/>
    <w:rsid w:val="00F9146D"/>
    <w:rsid w:val="00F96FB5"/>
    <w:rsid w:val="00FA380A"/>
    <w:rsid w:val="00FB5015"/>
    <w:rsid w:val="00FC6F5D"/>
    <w:rsid w:val="00FD7311"/>
    <w:rsid w:val="00FE41EF"/>
    <w:rsid w:val="00FF4D62"/>
    <w:rsid w:val="0100734C"/>
    <w:rsid w:val="02841512"/>
    <w:rsid w:val="0376188C"/>
    <w:rsid w:val="03BA435F"/>
    <w:rsid w:val="05312AE9"/>
    <w:rsid w:val="05CD7DC9"/>
    <w:rsid w:val="078319BA"/>
    <w:rsid w:val="07832399"/>
    <w:rsid w:val="07911211"/>
    <w:rsid w:val="07A64F46"/>
    <w:rsid w:val="0803745A"/>
    <w:rsid w:val="086B0467"/>
    <w:rsid w:val="0A220DB0"/>
    <w:rsid w:val="0AE838D6"/>
    <w:rsid w:val="0B4E639C"/>
    <w:rsid w:val="0B631CFF"/>
    <w:rsid w:val="0C075D2E"/>
    <w:rsid w:val="0C151FB8"/>
    <w:rsid w:val="0D0846EF"/>
    <w:rsid w:val="0D97539C"/>
    <w:rsid w:val="0ECA2326"/>
    <w:rsid w:val="0F7539F3"/>
    <w:rsid w:val="0FB1795A"/>
    <w:rsid w:val="0FFA7742"/>
    <w:rsid w:val="10115B82"/>
    <w:rsid w:val="10814764"/>
    <w:rsid w:val="10FC28BB"/>
    <w:rsid w:val="11AD30CC"/>
    <w:rsid w:val="124F5FE4"/>
    <w:rsid w:val="12915C25"/>
    <w:rsid w:val="12A30EAE"/>
    <w:rsid w:val="13793B6E"/>
    <w:rsid w:val="13EC67B4"/>
    <w:rsid w:val="14C86938"/>
    <w:rsid w:val="14E73ABF"/>
    <w:rsid w:val="153F0E76"/>
    <w:rsid w:val="15AF1D6B"/>
    <w:rsid w:val="16BA2338"/>
    <w:rsid w:val="17341C5A"/>
    <w:rsid w:val="175D47F1"/>
    <w:rsid w:val="189F259F"/>
    <w:rsid w:val="19492EC4"/>
    <w:rsid w:val="195D5CF4"/>
    <w:rsid w:val="196E733C"/>
    <w:rsid w:val="19C8171C"/>
    <w:rsid w:val="19E478EE"/>
    <w:rsid w:val="19E64E40"/>
    <w:rsid w:val="1A281FD1"/>
    <w:rsid w:val="1A917A22"/>
    <w:rsid w:val="1ADB36C8"/>
    <w:rsid w:val="1C6916C7"/>
    <w:rsid w:val="1D484391"/>
    <w:rsid w:val="1DEB5AC7"/>
    <w:rsid w:val="1E2146A3"/>
    <w:rsid w:val="1E6B3C34"/>
    <w:rsid w:val="1F056BF1"/>
    <w:rsid w:val="1F122ACD"/>
    <w:rsid w:val="228B59EF"/>
    <w:rsid w:val="22973373"/>
    <w:rsid w:val="22EF6166"/>
    <w:rsid w:val="242D6781"/>
    <w:rsid w:val="24AD3399"/>
    <w:rsid w:val="25661F30"/>
    <w:rsid w:val="27860FAD"/>
    <w:rsid w:val="27CB5AF6"/>
    <w:rsid w:val="27DF0D67"/>
    <w:rsid w:val="27E87E09"/>
    <w:rsid w:val="28811246"/>
    <w:rsid w:val="2B1E1EC7"/>
    <w:rsid w:val="2B6D157D"/>
    <w:rsid w:val="2B6F3D3B"/>
    <w:rsid w:val="2CBF21D1"/>
    <w:rsid w:val="2E361094"/>
    <w:rsid w:val="2E3A5DD4"/>
    <w:rsid w:val="2EFF01DB"/>
    <w:rsid w:val="2F416DC3"/>
    <w:rsid w:val="2F880B68"/>
    <w:rsid w:val="2FE224EB"/>
    <w:rsid w:val="31BD53BE"/>
    <w:rsid w:val="32083DF7"/>
    <w:rsid w:val="324E5838"/>
    <w:rsid w:val="331E0DC2"/>
    <w:rsid w:val="334F5BEB"/>
    <w:rsid w:val="33F31B1C"/>
    <w:rsid w:val="3412361A"/>
    <w:rsid w:val="34480D2B"/>
    <w:rsid w:val="34481997"/>
    <w:rsid w:val="35A40E38"/>
    <w:rsid w:val="35D5260D"/>
    <w:rsid w:val="36924D65"/>
    <w:rsid w:val="36B21457"/>
    <w:rsid w:val="36CF3089"/>
    <w:rsid w:val="370C3394"/>
    <w:rsid w:val="3712788F"/>
    <w:rsid w:val="371E3374"/>
    <w:rsid w:val="37765558"/>
    <w:rsid w:val="38F02325"/>
    <w:rsid w:val="38F50807"/>
    <w:rsid w:val="3A892CDE"/>
    <w:rsid w:val="3AD15960"/>
    <w:rsid w:val="3C4E5B91"/>
    <w:rsid w:val="3D23590D"/>
    <w:rsid w:val="3E8C267B"/>
    <w:rsid w:val="3EEC32C6"/>
    <w:rsid w:val="3F55503A"/>
    <w:rsid w:val="402F37DB"/>
    <w:rsid w:val="40E63DC9"/>
    <w:rsid w:val="42725986"/>
    <w:rsid w:val="43547066"/>
    <w:rsid w:val="44170D5C"/>
    <w:rsid w:val="444E631B"/>
    <w:rsid w:val="44730A10"/>
    <w:rsid w:val="44B80F11"/>
    <w:rsid w:val="44F54DA5"/>
    <w:rsid w:val="453D10E1"/>
    <w:rsid w:val="4634139F"/>
    <w:rsid w:val="46802DAF"/>
    <w:rsid w:val="487271D8"/>
    <w:rsid w:val="49E14D8A"/>
    <w:rsid w:val="4A452B68"/>
    <w:rsid w:val="4A4A0515"/>
    <w:rsid w:val="4DF053B9"/>
    <w:rsid w:val="4E1B3B6B"/>
    <w:rsid w:val="4EB06576"/>
    <w:rsid w:val="4EF43DDD"/>
    <w:rsid w:val="50DC1F77"/>
    <w:rsid w:val="510C4317"/>
    <w:rsid w:val="51BE0B4E"/>
    <w:rsid w:val="51C068E2"/>
    <w:rsid w:val="52494E4F"/>
    <w:rsid w:val="537F592F"/>
    <w:rsid w:val="54C50678"/>
    <w:rsid w:val="554C41AB"/>
    <w:rsid w:val="55F770D1"/>
    <w:rsid w:val="57044B37"/>
    <w:rsid w:val="57886310"/>
    <w:rsid w:val="57BD0C14"/>
    <w:rsid w:val="59145ED5"/>
    <w:rsid w:val="59645C8D"/>
    <w:rsid w:val="5A3573E4"/>
    <w:rsid w:val="5A3C0884"/>
    <w:rsid w:val="5A7B4DB8"/>
    <w:rsid w:val="5A8975E6"/>
    <w:rsid w:val="5B3E5F1E"/>
    <w:rsid w:val="5B990126"/>
    <w:rsid w:val="5C162EAA"/>
    <w:rsid w:val="5C7A2C70"/>
    <w:rsid w:val="5CB52C88"/>
    <w:rsid w:val="5D22133F"/>
    <w:rsid w:val="5D7467AD"/>
    <w:rsid w:val="5DCB213E"/>
    <w:rsid w:val="5DDC73CD"/>
    <w:rsid w:val="5E9A0173"/>
    <w:rsid w:val="5F557CC9"/>
    <w:rsid w:val="5F7E5D94"/>
    <w:rsid w:val="601D25AC"/>
    <w:rsid w:val="604009AA"/>
    <w:rsid w:val="606E3C01"/>
    <w:rsid w:val="60A21FB1"/>
    <w:rsid w:val="619E6AF9"/>
    <w:rsid w:val="61A50A19"/>
    <w:rsid w:val="62812575"/>
    <w:rsid w:val="62C00C87"/>
    <w:rsid w:val="62E7295A"/>
    <w:rsid w:val="637C353E"/>
    <w:rsid w:val="63D14399"/>
    <w:rsid w:val="652C4F46"/>
    <w:rsid w:val="6717688D"/>
    <w:rsid w:val="67653B4D"/>
    <w:rsid w:val="67784535"/>
    <w:rsid w:val="68A62DA9"/>
    <w:rsid w:val="697549DE"/>
    <w:rsid w:val="69871100"/>
    <w:rsid w:val="69C97A81"/>
    <w:rsid w:val="6B1434D8"/>
    <w:rsid w:val="6BC5633C"/>
    <w:rsid w:val="6C2B4974"/>
    <w:rsid w:val="6C457627"/>
    <w:rsid w:val="6DC53CEB"/>
    <w:rsid w:val="6E2143C0"/>
    <w:rsid w:val="6EAF48F1"/>
    <w:rsid w:val="6F8E36AD"/>
    <w:rsid w:val="6FF041C0"/>
    <w:rsid w:val="70A70B44"/>
    <w:rsid w:val="71465DEA"/>
    <w:rsid w:val="71E9322C"/>
    <w:rsid w:val="739040AA"/>
    <w:rsid w:val="74BD72CA"/>
    <w:rsid w:val="75286066"/>
    <w:rsid w:val="75471823"/>
    <w:rsid w:val="75926CA6"/>
    <w:rsid w:val="75C16D75"/>
    <w:rsid w:val="764D28E9"/>
    <w:rsid w:val="773E46B1"/>
    <w:rsid w:val="779D01E0"/>
    <w:rsid w:val="77F25590"/>
    <w:rsid w:val="783E0D19"/>
    <w:rsid w:val="78E47858"/>
    <w:rsid w:val="78F971CC"/>
    <w:rsid w:val="793A7EB7"/>
    <w:rsid w:val="797D1D57"/>
    <w:rsid w:val="7B80046E"/>
    <w:rsid w:val="7BBD374F"/>
    <w:rsid w:val="7CD735B7"/>
    <w:rsid w:val="7DAF4D7D"/>
    <w:rsid w:val="7DC3177C"/>
    <w:rsid w:val="7DC9316D"/>
    <w:rsid w:val="7DD9298F"/>
    <w:rsid w:val="7E5565DA"/>
    <w:rsid w:val="7ED81397"/>
    <w:rsid w:val="7F1F3CD5"/>
    <w:rsid w:val="7F35065C"/>
    <w:rsid w:val="7F4F625A"/>
    <w:rsid w:val="7FB21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33EB9D-127F-44FB-ACF0-7061F0C2340B}">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140</Words>
  <Characters>802</Characters>
  <Lines>6</Lines>
  <Paragraphs>1</Paragraphs>
  <TotalTime>14</TotalTime>
  <ScaleCrop>false</ScaleCrop>
  <LinksUpToDate>false</LinksUpToDate>
  <CharactersWithSpaces>941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2018-01-24T13:47:00Z</dcterms:created>
  <dc:creator>ASUS</dc:creator>
  <cp:lastModifiedBy>微笑</cp:lastModifiedBy>
  <cp:lastPrinted>2018-02-24T19:15:00Z</cp:lastPrinted>
  <dcterms:modified xsi:type="dcterms:W3CDTF">2020-04-06T07:58:58Z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