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Nuclear-Relevant Summary of Legislation</w:t>
      </w:r>
    </w:p>
    <w:p>
      <w:r>
        <w:t>This summary aggregates nuclear-related information from the legislative text and referenced legal materials.</w:t>
      </w:r>
    </w:p>
    <w:p>
      <w:r>
        <w:t xml:space="preserve"> </w:t>
      </w:r>
    </w:p>
    <w:p>
      <w:pPr>
        <w:pStyle w:val="Heading1"/>
      </w:pPr>
      <w:r>
        <w:t>Section 1</w:t>
      </w:r>
    </w:p>
    <w:p>
      <w:r>
        <w:t>**Nuclear-Related Legislative Report**</w:t>
        <w:br/>
        <w:br/>
        <w:t>**Introduction**</w:t>
        <w:br/>
        <w:t>This report consolidates and analyzes nuclear-related provisions from recent legislative texts. It focuses on sections that directly or indirectly impact the nuclear energy sector, including changes to the nuclear fuel supply chain, modifications to tax credits, and other regulatory amendments. The goal is to provide a succinct overview of legislative changes relevant to nuclear energy, highlighting significant amendments, repeals, and provisions that could influence the sector's landscape.</w:t>
        <w:br/>
        <w:br/>
        <w:t>**Legislative Overview and Key Provisions**</w:t>
        <w:br/>
        <w:br/>
        <w:t>1. **Defense Production Act and Nuclear Forces Enhancement**</w:t>
        <w:br/>
        <w:t xml:space="preserve">   - **Sec. 20008** and **Sec. 30004** address enhancements to resources for nuclear forces and potential implications under the Defense Production Act. While primarily focused on national defense, these sections could indirectly affect the civilian nuclear sector by prioritizing nuclear components and technologies for national security purposes, thereby impacting supply chain dynamics and resource allocation.</w:t>
        <w:br/>
        <w:br/>
        <w:t>2. **Tax Reforms and Financial Incentives**</w:t>
        <w:br/>
        <w:t xml:space="preserve">   - **Chapter 3 of the legislative text** introduces significant tax reforms that could benefit the nuclear energy sector:</w:t>
        <w:br/>
        <w:t xml:space="preserve">     - **Sec. 70301** and **Sec. 70302** allow full expensing for certain business properties and domestic research expenditures, potentially including those related to nuclear energy, thus fostering investment in nuclear technology development.</w:t>
        <w:br/>
        <w:t xml:space="preserve">     - **Sec. 70307** and **Sec. 70308** provide special depreciation allowances and enhancements to the advanced manufacturing investment credit, directly benefiting the production and technological advancement within the nuclear industry.</w:t>
        <w:br/>
        <w:br/>
        <w:t>3. **Modifications to Nuclear Power Production Credit**</w:t>
        <w:br/>
        <w:t xml:space="preserve">   - **Sec. 70510** outlines modifications to the zero-emission nuclear power production credit, a critical change that could alter the financial landscape for nuclear projects by adjusting incentives for producing nuclear power with zero carbon emissions.</w:t>
        <w:br/>
        <w:br/>
        <w:t>4. **Expansion of Qualifying Income for Publicly Traded Partnerships**</w:t>
        <w:br/>
        <w:t xml:space="preserve">   - **Sec. 70524** expands the types of qualifying income for certain publicly traded partnerships to include earnings from advanced nuclear energy technologies. This legislative change is designed to enhance investment in the nuclear sector by making nuclear projects more financially attractive.</w:t>
        <w:br/>
        <w:br/>
        <w:t>5. **Radiation Exposure Compensation**</w:t>
        <w:br/>
        <w:t xml:space="preserve">   - The sections from **Sec. 100201 to Sec. 100205** address compensation related to radiation exposure from historical nuclear activities, including uranium mining and atmospheric testing. These provisions are crucial for managing the legacy of nuclear activities and ensuring compensation mechanisms for affected individuals.</w:t>
        <w:br/>
        <w:br/>
        <w:t>**Implications and Strategic Considerations**</w:t>
        <w:br/>
        <w:t>The legislative changes highlighted in this report suggest a nuanced approach to nuclear energy policy, with implications for national security, economic incentives, and historical compensation. The enhancement of tax credits and financial incentives is likely aimed at boosting competitiveness and investment in the nuclear sector, which is critical for advancing nuclear technology and maintaining a robust nuclear energy supply chain.</w:t>
        <w:br/>
        <w:br/>
        <w:t>**Conclusion**</w:t>
        <w:br/>
        <w:t>This report has identified and summarized key legislative provisions affecting the nuclear energy sector. It is evident that while some sections directly enhance resources and financial incentives for nuclear energy, others indirectly influence the sector through broader economic or national security measures. Policymakers and stakeholders in the nuclear industry should consider these legislative changes when planning and implementing strategies to ensure the sector's growth and sustainability. This analysis serves as a foundation for understanding the current legislative landscape and its potential impacts on nuclear energy development and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