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Nuclear-Relevant Summary of Legislation</w:t>
      </w:r>
    </w:p>
    <w:p>
      <w:r>
        <w:t>This summary aggregates nuclear-related information from the legislative text and referenced legal materials.</w:t>
      </w:r>
    </w:p>
    <w:p>
      <w:r>
        <w:t xml:space="preserve"> </w:t>
      </w:r>
    </w:p>
    <w:p>
      <w:pPr>
        <w:pStyle w:val="Heading1"/>
      </w:pPr>
      <w:r>
        <w:t>Section 1</w:t>
      </w:r>
    </w:p>
    <w:p>
      <w:r>
        <w:t>**Executive Summary:**</w:t>
        <w:br/>
        <w:br/>
        <w:t>This report provides a comprehensive analysis of recent legislative texts with potential implications for the nuclear energy sector. While the primary focus of the discussed legislation spans various domains, including agriculture, healthcare, and nutrition, several sections indirectly touch upon aspects relevant to nuclear energy. This report aims to synthesize these indirect references and evaluate their potential impact on nuclear energy development, funding, tax credits, safety, regulation, or deployment.</w:t>
        <w:br/>
        <w:br/>
        <w:t>**Key Legislative Sections Impacting Nuclear Energy:**</w:t>
        <w:br/>
        <w:br/>
        <w:t>1. **Energy Policy and Defense Production Act Appropriations:**</w:t>
        <w:br/>
        <w:t xml:space="preserve">   - **Sec. 10605 (Energy)** and **Sec. 30004 (Appropriations for Defense Production Act)** hint at potential implications for nuclear energy through broader energy policy shifts and appropriations that may affect critical materials used in nuclear energy production.</w:t>
        <w:br/>
        <w:br/>
        <w:t>2. **Military and Technological Enhancements:**</w:t>
        <w:br/>
        <w:t xml:space="preserve">   - **Sec. 20008 (Enhancement of resources for nuclear forces)**, while focused on military applications, could indirectly benefit civilian nuclear energy sectors through advancements in nuclear technology and safety.</w:t>
        <w:br/>
        <w:br/>
        <w:t>3. **Mining and Resource Extraction:**</w:t>
        <w:br/>
        <w:t xml:space="preserve">   - **Subtitle B—Mining** addresses coal leasing and royalties, which, by extension, could influence regulatory frameworks applicable to uranium mining, a critical component of the nuclear fuel supply chain.</w:t>
        <w:br/>
        <w:br/>
        <w:t>4. **Fiscal Policies and Tax Reforms:**</w:t>
        <w:br/>
        <w:t xml:space="preserve">   - Various sections under **Title VII—Finance** and specific provisions like **Full Expensing for Certain Business Property** and **Enhancement of Advanced Manufacturing Investment Credit** could indirectly foster a conducive investment climate for nuclear energy infrastructure.</w:t>
        <w:br/>
        <w:br/>
        <w:t>5. **Radiation Exposure Compensation:**</w:t>
        <w:br/>
        <w:t xml:space="preserve">   - **Subtitle C—Radiation Exposure Compensation Matters** directly relates to historical nuclear activities and has implications for current policies on nuclear safety, regulation, and public perception.</w:t>
        <w:br/>
        <w:br/>
        <w:t>6. **Environmental and Emissions Programs:**</w:t>
        <w:br/>
        <w:t xml:space="preserve">   - **Title VI—Committee on Environment and Public Works** discusses the rescission of funding for low emissions electricity programs, which could indirectly affect nuclear energy as a low-emission source.</w:t>
        <w:br/>
        <w:br/>
        <w:t>**Implications for Nuclear Energy Sector:**</w:t>
        <w:br/>
        <w:br/>
        <w:t>- **Policy Environment:** The legislative texts suggest a nuanced shift in the policy environment that could either challenge or bolster the nuclear energy sector. For instance, the reduction in environmental program funding might diminish support mechanisms beneficial to nuclear projects, while enhancements in military nuclear capabilities could lead to technological spillovers in civilian applications.</w:t>
        <w:br/>
        <w:t xml:space="preserve">  </w:t>
        <w:br/>
        <w:t>- **Investment and Development:** The fiscal and tax policy adjustments, particularly those enhancing investment credits and expensing for business properties, could incentivize new investments in nuclear energy infrastructure and technology.</w:t>
        <w:br/>
        <w:br/>
        <w:t>- **Regulatory and Safety Standards:** Provisions related to radiation exposure and uranium mining highlight ongoing concerns and regulatory focus areas that could influence future legislative actions affecting nuclear safety and environmental standards.</w:t>
        <w:br/>
        <w:br/>
        <w:t>**Recommendations:**</w:t>
        <w:br/>
        <w:br/>
        <w:t>- **Monitoring and Advocacy:** Stakeholders should continuously monitor legislative developments for any changes that could indirectly impact the nuclear sector. Engaging in advocacy to ensure nuclear energy is considered in broader energy and environmental policies is crucial.</w:t>
        <w:br/>
        <w:br/>
        <w:t>- **Strategic Planning:** Companies and investors in the nuclear energy sector should adjust their strategic planning to align with the evolving fiscal and regulatory landscape, potentially capitalizing on new incentives or preparing for shifts in policy support.</w:t>
        <w:br/>
        <w:br/>
        <w:t>**Conclusion:**</w:t>
        <w:br/>
        <w:br/>
        <w:t>While the direct references to nuclear energy in the reviewed legislative texts are limited, the implications of related policies, fiscal measures, and regulatory changes are significant. Stakeholders must remain vigilant and proactive in navigating this complex legislative environment to leverage potential opportunities and mitigate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